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833" w:rsidRDefault="003A260E" w:rsidP="00DD480E">
      <w:pPr>
        <w:jc w:val="center"/>
        <w:rPr>
          <w:rFonts w:ascii="Franklin Gothic Medium" w:hAnsi="Franklin Gothic Medium"/>
          <w:sz w:val="28"/>
        </w:rPr>
      </w:pPr>
      <w:r>
        <w:rPr>
          <w:rFonts w:ascii="Franklin Gothic Medium" w:hAnsi="Franklin Gothic Medium"/>
          <w:noProof/>
          <w:sz w:val="28"/>
          <w:lang w:eastAsia="en-NZ"/>
        </w:rPr>
        <w:drawing>
          <wp:inline distT="0" distB="0" distL="0" distR="0">
            <wp:extent cx="1866900" cy="876300"/>
            <wp:effectExtent l="19050" t="0" r="0" b="0"/>
            <wp:docPr id="1" name="Picture 1" descr="Ec_landscape_orang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_landscape_orange_CMYK"/>
                    <pic:cNvPicPr>
                      <a:picLocks noChangeAspect="1" noChangeArrowheads="1"/>
                    </pic:cNvPicPr>
                  </pic:nvPicPr>
                  <pic:blipFill>
                    <a:blip r:embed="rId8" cstate="print"/>
                    <a:srcRect/>
                    <a:stretch>
                      <a:fillRect/>
                    </a:stretch>
                  </pic:blipFill>
                  <pic:spPr bwMode="auto">
                    <a:xfrm>
                      <a:off x="0" y="0"/>
                      <a:ext cx="1866900" cy="876300"/>
                    </a:xfrm>
                    <a:prstGeom prst="rect">
                      <a:avLst/>
                    </a:prstGeom>
                    <a:noFill/>
                    <a:ln w="9525">
                      <a:noFill/>
                      <a:miter lim="800000"/>
                      <a:headEnd/>
                      <a:tailEnd/>
                    </a:ln>
                  </pic:spPr>
                </pic:pic>
              </a:graphicData>
            </a:graphic>
          </wp:inline>
        </w:drawing>
      </w:r>
    </w:p>
    <w:p w:rsidR="000C60CD" w:rsidRDefault="00AE706C" w:rsidP="00AE706C">
      <w:pPr>
        <w:ind w:left="-284"/>
        <w:jc w:val="center"/>
        <w:rPr>
          <w:rFonts w:ascii="Franklin Gothic Medium" w:hAnsi="Franklin Gothic Medium"/>
          <w:sz w:val="28"/>
        </w:rPr>
      </w:pPr>
      <w:r>
        <w:rPr>
          <w:rFonts w:ascii="Franklin Gothic Medium" w:hAnsi="Franklin Gothic Medium"/>
          <w:sz w:val="28"/>
        </w:rPr>
        <w:t>The Quality Practice Template: the</w:t>
      </w:r>
      <w:r w:rsidR="00502B73">
        <w:rPr>
          <w:rFonts w:ascii="Franklin Gothic Medium" w:hAnsi="Franklin Gothic Medium"/>
          <w:sz w:val="28"/>
        </w:rPr>
        <w:t xml:space="preserve"> </w:t>
      </w:r>
      <w:r w:rsidR="00502B73">
        <w:rPr>
          <w:rFonts w:ascii="Franklin Gothic Medium" w:hAnsi="Franklin Gothic Medium"/>
          <w:i/>
          <w:sz w:val="28"/>
        </w:rPr>
        <w:t>Standards for the Teaching Profession</w:t>
      </w:r>
      <w:r w:rsidR="000E6833" w:rsidRPr="00216428">
        <w:rPr>
          <w:rFonts w:ascii="Franklin Gothic Medium" w:hAnsi="Franklin Gothic Medium"/>
          <w:sz w:val="28"/>
        </w:rPr>
        <w:t xml:space="preserve"> </w:t>
      </w:r>
    </w:p>
    <w:p w:rsidR="000E6833" w:rsidRPr="00216428" w:rsidRDefault="000C60CD" w:rsidP="00AE706C">
      <w:pPr>
        <w:ind w:left="-284"/>
        <w:jc w:val="center"/>
        <w:rPr>
          <w:rFonts w:ascii="Franklin Gothic Medium" w:hAnsi="Franklin Gothic Medium"/>
          <w:sz w:val="28"/>
        </w:rPr>
      </w:pPr>
      <w:r>
        <w:rPr>
          <w:rFonts w:ascii="Franklin Gothic Medium" w:hAnsi="Franklin Gothic Medium"/>
          <w:sz w:val="28"/>
        </w:rPr>
        <w:t>in your setting</w:t>
      </w:r>
    </w:p>
    <w:p w:rsidR="00AE706C" w:rsidRPr="000C60CD" w:rsidRDefault="00AE706C" w:rsidP="000C60CD">
      <w:pPr>
        <w:ind w:left="-284"/>
        <w:jc w:val="center"/>
        <w:rPr>
          <w:rFonts w:ascii="Franklin Gothic Book" w:hAnsi="Franklin Gothic Book"/>
          <w:sz w:val="20"/>
          <w:szCs w:val="20"/>
        </w:rPr>
      </w:pPr>
      <w:r>
        <w:rPr>
          <w:rFonts w:ascii="Franklin Gothic Medium" w:hAnsi="Franklin Gothic Medium"/>
          <w:sz w:val="20"/>
          <w:szCs w:val="20"/>
        </w:rPr>
        <w:t>This template is not for individual teachers to complete as an appraisal record!</w:t>
      </w:r>
    </w:p>
    <w:p w:rsidR="00AE706C" w:rsidRDefault="00AE706C" w:rsidP="00EA322A">
      <w:pPr>
        <w:ind w:left="-284"/>
        <w:rPr>
          <w:rFonts w:ascii="Franklin Gothic Book" w:hAnsi="Franklin Gothic Book"/>
          <w:sz w:val="20"/>
          <w:szCs w:val="20"/>
        </w:rPr>
      </w:pPr>
      <w:r>
        <w:rPr>
          <w:rFonts w:ascii="Franklin Gothic Book" w:hAnsi="Franklin Gothic Book"/>
          <w:sz w:val="20"/>
          <w:szCs w:val="20"/>
        </w:rPr>
        <w:t xml:space="preserve">Getting to know the </w:t>
      </w:r>
      <w:r>
        <w:rPr>
          <w:rFonts w:ascii="Franklin Gothic Book" w:hAnsi="Franklin Gothic Book"/>
          <w:i/>
          <w:sz w:val="20"/>
          <w:szCs w:val="20"/>
        </w:rPr>
        <w:t xml:space="preserve">Standards for the Teaching Profession </w:t>
      </w:r>
      <w:r>
        <w:rPr>
          <w:rFonts w:ascii="Franklin Gothic Book" w:hAnsi="Franklin Gothic Book"/>
          <w:sz w:val="20"/>
          <w:szCs w:val="20"/>
        </w:rPr>
        <w:t>is essential for making appraisal valuable, manageable and learner-centred f</w:t>
      </w:r>
      <w:r w:rsidR="00245964">
        <w:rPr>
          <w:rFonts w:ascii="Franklin Gothic Book" w:hAnsi="Franklin Gothic Book"/>
          <w:sz w:val="20"/>
          <w:szCs w:val="20"/>
        </w:rPr>
        <w:t>or all teachers and leaders</w:t>
      </w:r>
      <w:r>
        <w:rPr>
          <w:rFonts w:ascii="Franklin Gothic Book" w:hAnsi="Franklin Gothic Book"/>
          <w:sz w:val="20"/>
          <w:szCs w:val="20"/>
        </w:rPr>
        <w:t xml:space="preserve">. Knowing the standards and having a shared understanding of what they look like at your place allows you to focus your appraisal attention around your goals or inquiry. </w:t>
      </w:r>
    </w:p>
    <w:p w:rsidR="00D51AEC" w:rsidRDefault="00AE706C" w:rsidP="00EA322A">
      <w:pPr>
        <w:ind w:left="-284"/>
        <w:rPr>
          <w:rFonts w:ascii="Franklin Gothic Book" w:hAnsi="Franklin Gothic Book"/>
          <w:sz w:val="20"/>
          <w:szCs w:val="20"/>
        </w:rPr>
      </w:pPr>
      <w:r>
        <w:rPr>
          <w:rFonts w:ascii="Franklin Gothic Book" w:hAnsi="Franklin Gothic Book"/>
          <w:sz w:val="20"/>
          <w:szCs w:val="20"/>
        </w:rPr>
        <w:t xml:space="preserve">Completing the Quality Practice Template together means you </w:t>
      </w:r>
      <w:r w:rsidR="00D51AEC">
        <w:rPr>
          <w:rFonts w:ascii="Franklin Gothic Book" w:hAnsi="Franklin Gothic Book"/>
          <w:sz w:val="20"/>
          <w:szCs w:val="20"/>
        </w:rPr>
        <w:t xml:space="preserve">together with colleagues identify the </w:t>
      </w:r>
      <w:r w:rsidR="00D51AEC">
        <w:rPr>
          <w:rFonts w:ascii="Franklin Gothic Book" w:hAnsi="Franklin Gothic Book"/>
          <w:i/>
          <w:sz w:val="20"/>
          <w:szCs w:val="20"/>
        </w:rPr>
        <w:t xml:space="preserve">Standards </w:t>
      </w:r>
      <w:r w:rsidR="00D51AEC">
        <w:rPr>
          <w:rFonts w:ascii="Franklin Gothic Book" w:hAnsi="Franklin Gothic Book"/>
          <w:sz w:val="20"/>
          <w:szCs w:val="20"/>
        </w:rPr>
        <w:t>as practices in your context. It makes it easier to see the naturally occurring</w:t>
      </w:r>
      <w:r w:rsidR="00502B73">
        <w:rPr>
          <w:rFonts w:ascii="Franklin Gothic Book" w:hAnsi="Franklin Gothic Book"/>
          <w:sz w:val="20"/>
          <w:szCs w:val="20"/>
        </w:rPr>
        <w:t xml:space="preserve"> evidence available for discussion/analysis</w:t>
      </w:r>
      <w:r w:rsidR="00D51AEC">
        <w:rPr>
          <w:rFonts w:ascii="Franklin Gothic Book" w:hAnsi="Franklin Gothic Book"/>
          <w:sz w:val="20"/>
          <w:szCs w:val="20"/>
        </w:rPr>
        <w:t>.</w:t>
      </w:r>
    </w:p>
    <w:p w:rsidR="00EA322A" w:rsidRPr="00D51AEC" w:rsidRDefault="00D51AEC" w:rsidP="00EA322A">
      <w:pPr>
        <w:ind w:left="-284"/>
        <w:rPr>
          <w:rFonts w:ascii="Franklin Gothic Book" w:hAnsi="Franklin Gothic Book"/>
          <w:sz w:val="20"/>
          <w:szCs w:val="20"/>
        </w:rPr>
      </w:pPr>
      <w:r>
        <w:rPr>
          <w:rFonts w:ascii="Franklin Gothic Book" w:hAnsi="Franklin Gothic Book"/>
          <w:sz w:val="20"/>
          <w:szCs w:val="20"/>
        </w:rPr>
        <w:t>When it’s completed if you find it hard to undertake any of the</w:t>
      </w:r>
      <w:r w:rsidR="00772D4D">
        <w:rPr>
          <w:rFonts w:ascii="Franklin Gothic Book" w:hAnsi="Franklin Gothic Book"/>
          <w:sz w:val="20"/>
          <w:szCs w:val="20"/>
        </w:rPr>
        <w:t xml:space="preserve"> agreed practices, you can speak to your</w:t>
      </w:r>
      <w:r w:rsidR="009A3128">
        <w:rPr>
          <w:rFonts w:ascii="Franklin Gothic Book" w:hAnsi="Franklin Gothic Book"/>
          <w:sz w:val="20"/>
          <w:szCs w:val="20"/>
        </w:rPr>
        <w:t xml:space="preserve"> appraiser to </w:t>
      </w:r>
      <w:r>
        <w:rPr>
          <w:rFonts w:ascii="Franklin Gothic Book" w:hAnsi="Franklin Gothic Book"/>
          <w:sz w:val="20"/>
          <w:szCs w:val="20"/>
        </w:rPr>
        <w:t>talk about what needs to happen to make sure you can do it. Similarly, if an appraiser notices that some of the agreed practices are not happening, then they can have a conversation with the appraisee</w:t>
      </w:r>
      <w:r w:rsidR="009A3128">
        <w:rPr>
          <w:rFonts w:ascii="Franklin Gothic Book" w:hAnsi="Franklin Gothic Book"/>
          <w:sz w:val="20"/>
          <w:szCs w:val="20"/>
        </w:rPr>
        <w:t>.</w:t>
      </w:r>
    </w:p>
    <w:p w:rsidR="00516D31" w:rsidRPr="005B188D" w:rsidRDefault="00D51AEC" w:rsidP="00E14B52">
      <w:pPr>
        <w:spacing w:after="120"/>
        <w:ind w:left="-284"/>
        <w:rPr>
          <w:rFonts w:ascii="Franklin Gothic Book" w:hAnsi="Franklin Gothic Book"/>
          <w:b/>
          <w:sz w:val="20"/>
          <w:szCs w:val="20"/>
        </w:rPr>
      </w:pPr>
      <w:r>
        <w:rPr>
          <w:rFonts w:ascii="Franklin Gothic Book" w:hAnsi="Franklin Gothic Book"/>
          <w:b/>
          <w:sz w:val="20"/>
          <w:szCs w:val="20"/>
        </w:rPr>
        <w:t>Completing the template</w:t>
      </w:r>
      <w:r w:rsidR="00FE0913">
        <w:rPr>
          <w:rFonts w:ascii="Franklin Gothic Book" w:hAnsi="Franklin Gothic Book"/>
          <w:b/>
          <w:sz w:val="20"/>
          <w:szCs w:val="20"/>
        </w:rPr>
        <w:t xml:space="preserve"> -download as paper or electronic file</w:t>
      </w:r>
    </w:p>
    <w:p w:rsidR="00BE093D" w:rsidRPr="00D0499E" w:rsidRDefault="00CD28C2" w:rsidP="00E14B52">
      <w:pPr>
        <w:spacing w:after="0"/>
        <w:ind w:left="-284"/>
        <w:rPr>
          <w:rFonts w:ascii="Franklin Gothic Book" w:hAnsi="Franklin Gothic Book"/>
          <w:i/>
          <w:sz w:val="20"/>
          <w:szCs w:val="20"/>
        </w:rPr>
      </w:pPr>
      <w:r>
        <w:rPr>
          <w:rFonts w:ascii="Franklin Gothic Book" w:hAnsi="Franklin Gothic Book"/>
          <w:i/>
          <w:sz w:val="20"/>
          <w:szCs w:val="20"/>
        </w:rPr>
        <w:t xml:space="preserve">Leading your colleagues to make </w:t>
      </w:r>
      <w:r w:rsidR="00D0499E">
        <w:rPr>
          <w:rFonts w:ascii="Franklin Gothic Book" w:hAnsi="Franklin Gothic Book"/>
          <w:i/>
          <w:sz w:val="20"/>
          <w:szCs w:val="20"/>
        </w:rPr>
        <w:t>a start</w:t>
      </w:r>
    </w:p>
    <w:p w:rsidR="00516D31" w:rsidRPr="005B188D" w:rsidRDefault="00D51AEC" w:rsidP="00E14B52">
      <w:pPr>
        <w:numPr>
          <w:ilvl w:val="0"/>
          <w:numId w:val="2"/>
        </w:numPr>
        <w:spacing w:after="0"/>
        <w:rPr>
          <w:rFonts w:ascii="Franklin Gothic Book" w:hAnsi="Franklin Gothic Book"/>
          <w:sz w:val="20"/>
          <w:szCs w:val="20"/>
        </w:rPr>
      </w:pPr>
      <w:r>
        <w:rPr>
          <w:rFonts w:ascii="Franklin Gothic Book" w:hAnsi="Franklin Gothic Book"/>
          <w:sz w:val="20"/>
          <w:szCs w:val="20"/>
        </w:rPr>
        <w:t>You will need to d</w:t>
      </w:r>
      <w:r w:rsidR="00516D31" w:rsidRPr="005B188D">
        <w:rPr>
          <w:rFonts w:ascii="Franklin Gothic Book" w:hAnsi="Franklin Gothic Book"/>
          <w:sz w:val="20"/>
          <w:szCs w:val="20"/>
        </w:rPr>
        <w:t xml:space="preserve">edicate </w:t>
      </w:r>
      <w:r>
        <w:rPr>
          <w:rFonts w:ascii="Franklin Gothic Book" w:hAnsi="Franklin Gothic Book"/>
          <w:sz w:val="20"/>
          <w:szCs w:val="20"/>
        </w:rPr>
        <w:t>half an</w:t>
      </w:r>
      <w:r w:rsidR="00516D31" w:rsidRPr="005B188D">
        <w:rPr>
          <w:rFonts w:ascii="Franklin Gothic Book" w:hAnsi="Franklin Gothic Book"/>
          <w:sz w:val="20"/>
          <w:szCs w:val="20"/>
        </w:rPr>
        <w:t xml:space="preserve"> hour of staff meeting time (could be two </w:t>
      </w:r>
      <w:r>
        <w:rPr>
          <w:rFonts w:ascii="Franklin Gothic Book" w:hAnsi="Franklin Gothic Book"/>
          <w:sz w:val="20"/>
          <w:szCs w:val="20"/>
        </w:rPr>
        <w:t>15</w:t>
      </w:r>
      <w:r w:rsidR="00516D31" w:rsidRPr="005B188D">
        <w:rPr>
          <w:rFonts w:ascii="Franklin Gothic Book" w:hAnsi="Franklin Gothic Book"/>
          <w:sz w:val="20"/>
          <w:szCs w:val="20"/>
        </w:rPr>
        <w:t xml:space="preserve"> minute sessions)</w:t>
      </w:r>
      <w:r w:rsidR="00D540EE" w:rsidRPr="005B188D">
        <w:rPr>
          <w:rFonts w:ascii="Franklin Gothic Book" w:hAnsi="Franklin Gothic Book"/>
          <w:sz w:val="20"/>
          <w:szCs w:val="20"/>
        </w:rPr>
        <w:t xml:space="preserve"> to making a start</w:t>
      </w:r>
      <w:r w:rsidR="00291BB6">
        <w:rPr>
          <w:rFonts w:ascii="Franklin Gothic Book" w:hAnsi="Franklin Gothic Book"/>
          <w:sz w:val="20"/>
          <w:szCs w:val="20"/>
        </w:rPr>
        <w:t>.</w:t>
      </w:r>
    </w:p>
    <w:p w:rsidR="00D0499E" w:rsidRDefault="00D51AEC" w:rsidP="00F41477">
      <w:pPr>
        <w:numPr>
          <w:ilvl w:val="0"/>
          <w:numId w:val="2"/>
        </w:numPr>
        <w:spacing w:after="0"/>
        <w:rPr>
          <w:rFonts w:ascii="Franklin Gothic Book" w:hAnsi="Franklin Gothic Book"/>
          <w:sz w:val="20"/>
          <w:szCs w:val="20"/>
        </w:rPr>
      </w:pPr>
      <w:r w:rsidRPr="005B188D">
        <w:rPr>
          <w:rFonts w:ascii="Franklin Gothic Book" w:hAnsi="Franklin Gothic Book"/>
          <w:sz w:val="20"/>
          <w:szCs w:val="20"/>
        </w:rPr>
        <w:t xml:space="preserve">Explain the purpose </w:t>
      </w:r>
      <w:r>
        <w:rPr>
          <w:rFonts w:ascii="Franklin Gothic Book" w:hAnsi="Franklin Gothic Book"/>
          <w:sz w:val="20"/>
          <w:szCs w:val="20"/>
        </w:rPr>
        <w:t>for completing the template.</w:t>
      </w:r>
      <w:r w:rsidRPr="00D0499E">
        <w:rPr>
          <w:rFonts w:ascii="Franklin Gothic Book" w:hAnsi="Franklin Gothic Book"/>
          <w:sz w:val="20"/>
          <w:szCs w:val="20"/>
        </w:rPr>
        <w:t xml:space="preserve"> </w:t>
      </w:r>
      <w:r w:rsidR="00516D31" w:rsidRPr="00D0499E">
        <w:rPr>
          <w:rFonts w:ascii="Franklin Gothic Book" w:hAnsi="Franklin Gothic Book"/>
          <w:sz w:val="20"/>
          <w:szCs w:val="20"/>
        </w:rPr>
        <w:t xml:space="preserve">Have </w:t>
      </w:r>
      <w:r w:rsidR="00D24F8F" w:rsidRPr="00D0499E">
        <w:rPr>
          <w:rFonts w:ascii="Franklin Gothic Book" w:hAnsi="Franklin Gothic Book"/>
          <w:sz w:val="20"/>
          <w:szCs w:val="20"/>
        </w:rPr>
        <w:t>everyone</w:t>
      </w:r>
      <w:r w:rsidR="00516D31" w:rsidRPr="00D0499E">
        <w:rPr>
          <w:rFonts w:ascii="Franklin Gothic Book" w:hAnsi="Franklin Gothic Book"/>
          <w:sz w:val="20"/>
          <w:szCs w:val="20"/>
        </w:rPr>
        <w:t xml:space="preserve"> work in pairs</w:t>
      </w:r>
      <w:r w:rsidR="00772D4D">
        <w:rPr>
          <w:rFonts w:ascii="Franklin Gothic Book" w:hAnsi="Franklin Gothic Book"/>
          <w:sz w:val="20"/>
          <w:szCs w:val="20"/>
        </w:rPr>
        <w:t>/small groups</w:t>
      </w:r>
      <w:r w:rsidR="00516D31" w:rsidRPr="00D0499E">
        <w:rPr>
          <w:rFonts w:ascii="Franklin Gothic Book" w:hAnsi="Franklin Gothic Book"/>
          <w:sz w:val="20"/>
          <w:szCs w:val="20"/>
        </w:rPr>
        <w:t xml:space="preserve"> to record what this </w:t>
      </w:r>
      <w:r w:rsidR="009A3128">
        <w:rPr>
          <w:rFonts w:ascii="Franklin Gothic Book" w:hAnsi="Franklin Gothic Book"/>
          <w:sz w:val="20"/>
          <w:szCs w:val="20"/>
        </w:rPr>
        <w:t>standard</w:t>
      </w:r>
      <w:r w:rsidR="00516D31" w:rsidRPr="00D0499E">
        <w:rPr>
          <w:rFonts w:ascii="Franklin Gothic Book" w:hAnsi="Franklin Gothic Book"/>
          <w:sz w:val="20"/>
          <w:szCs w:val="20"/>
        </w:rPr>
        <w:t xml:space="preserve"> looks like in practice (what you already do-that is viewed as </w:t>
      </w:r>
      <w:r w:rsidR="00BE093D" w:rsidRPr="00D0499E">
        <w:rPr>
          <w:rFonts w:ascii="Franklin Gothic Book" w:hAnsi="Franklin Gothic Book"/>
          <w:sz w:val="20"/>
          <w:szCs w:val="20"/>
        </w:rPr>
        <w:t xml:space="preserve">quality practice </w:t>
      </w:r>
      <w:r w:rsidR="00516D31" w:rsidRPr="00D0499E">
        <w:rPr>
          <w:rFonts w:ascii="Franklin Gothic Book" w:hAnsi="Franklin Gothic Book"/>
          <w:sz w:val="20"/>
          <w:szCs w:val="20"/>
        </w:rPr>
        <w:t xml:space="preserve">and also </w:t>
      </w:r>
      <w:r w:rsidR="008B1C57" w:rsidRPr="00D0499E">
        <w:rPr>
          <w:rFonts w:ascii="Franklin Gothic Book" w:hAnsi="Franklin Gothic Book"/>
          <w:sz w:val="20"/>
          <w:szCs w:val="20"/>
        </w:rPr>
        <w:t>what you do/plan to do at</w:t>
      </w:r>
      <w:r w:rsidR="00BE093D" w:rsidRPr="00D0499E">
        <w:rPr>
          <w:rFonts w:ascii="Franklin Gothic Book" w:hAnsi="Franklin Gothic Book"/>
          <w:sz w:val="20"/>
          <w:szCs w:val="20"/>
        </w:rPr>
        <w:t xml:space="preserve"> the aspirational level</w:t>
      </w:r>
      <w:r w:rsidR="00D24F8F" w:rsidRPr="00D0499E">
        <w:rPr>
          <w:rFonts w:ascii="Franklin Gothic Book" w:hAnsi="Franklin Gothic Book"/>
          <w:sz w:val="20"/>
          <w:szCs w:val="20"/>
        </w:rPr>
        <w:t>)</w:t>
      </w:r>
      <w:r w:rsidR="00BE093D" w:rsidRPr="00D0499E">
        <w:rPr>
          <w:rFonts w:ascii="Franklin Gothic Book" w:hAnsi="Franklin Gothic Book"/>
          <w:sz w:val="20"/>
          <w:szCs w:val="20"/>
        </w:rPr>
        <w:t xml:space="preserve">. </w:t>
      </w:r>
      <w:r w:rsidR="009A3128">
        <w:rPr>
          <w:rFonts w:ascii="Franklin Gothic Book" w:hAnsi="Franklin Gothic Book"/>
          <w:sz w:val="20"/>
          <w:szCs w:val="20"/>
        </w:rPr>
        <w:t xml:space="preserve">Refer to the standard and work in column three. Refer back to the elaborations as you go for further explanation. You do not need to be matching an quality practice to each elaboration. </w:t>
      </w:r>
    </w:p>
    <w:p w:rsidR="00D51AEC" w:rsidRDefault="00D51AEC" w:rsidP="00F41477">
      <w:pPr>
        <w:numPr>
          <w:ilvl w:val="0"/>
          <w:numId w:val="2"/>
        </w:numPr>
        <w:spacing w:after="0"/>
        <w:rPr>
          <w:rFonts w:ascii="Franklin Gothic Book" w:hAnsi="Franklin Gothic Book"/>
          <w:sz w:val="20"/>
          <w:szCs w:val="20"/>
        </w:rPr>
      </w:pPr>
      <w:r>
        <w:rPr>
          <w:rFonts w:ascii="Franklin Gothic Book" w:hAnsi="Franklin Gothic Book"/>
          <w:sz w:val="20"/>
          <w:szCs w:val="20"/>
        </w:rPr>
        <w:t>You can leave the evidence column at this stage if that works for your groups.</w:t>
      </w:r>
    </w:p>
    <w:p w:rsidR="00516D31" w:rsidRDefault="009A3128" w:rsidP="00F41477">
      <w:pPr>
        <w:numPr>
          <w:ilvl w:val="0"/>
          <w:numId w:val="2"/>
        </w:numPr>
        <w:spacing w:after="0"/>
        <w:rPr>
          <w:rFonts w:ascii="Franklin Gothic Book" w:hAnsi="Franklin Gothic Book"/>
          <w:sz w:val="20"/>
          <w:szCs w:val="20"/>
        </w:rPr>
      </w:pPr>
      <w:r>
        <w:rPr>
          <w:rFonts w:ascii="Franklin Gothic Book" w:hAnsi="Franklin Gothic Book"/>
          <w:sz w:val="20"/>
          <w:szCs w:val="20"/>
        </w:rPr>
        <w:t xml:space="preserve">Have </w:t>
      </w:r>
      <w:r w:rsidR="00772D4D">
        <w:rPr>
          <w:rFonts w:ascii="Franklin Gothic Book" w:hAnsi="Franklin Gothic Book"/>
          <w:sz w:val="20"/>
          <w:szCs w:val="20"/>
        </w:rPr>
        <w:t>pairs/small groups</w:t>
      </w:r>
      <w:r>
        <w:rPr>
          <w:rFonts w:ascii="Franklin Gothic Book" w:hAnsi="Franklin Gothic Book"/>
          <w:sz w:val="20"/>
          <w:szCs w:val="20"/>
        </w:rPr>
        <w:t xml:space="preserve"> pass these around</w:t>
      </w:r>
      <w:r w:rsidR="00D51AEC">
        <w:rPr>
          <w:rFonts w:ascii="Franklin Gothic Book" w:hAnsi="Franklin Gothic Book"/>
          <w:sz w:val="20"/>
          <w:szCs w:val="20"/>
        </w:rPr>
        <w:t xml:space="preserve"> for others to compare, discuss and add to what is there. Or have the pairs groups complete another standard.</w:t>
      </w:r>
    </w:p>
    <w:p w:rsidR="008B1C57" w:rsidRPr="009A3128" w:rsidRDefault="008B1C57" w:rsidP="00CD28C2">
      <w:pPr>
        <w:spacing w:after="0"/>
        <w:ind w:left="720"/>
        <w:rPr>
          <w:rFonts w:ascii="Franklin Gothic Book" w:hAnsi="Franklin Gothic Book"/>
          <w:sz w:val="20"/>
          <w:szCs w:val="20"/>
        </w:rPr>
      </w:pPr>
    </w:p>
    <w:p w:rsidR="00EA322A" w:rsidRPr="00D51AEC" w:rsidRDefault="00D51AEC" w:rsidP="00D51AEC">
      <w:pPr>
        <w:spacing w:after="120"/>
        <w:ind w:left="-284"/>
        <w:rPr>
          <w:rFonts w:ascii="Franklin Gothic Book" w:hAnsi="Franklin Gothic Book"/>
          <w:b/>
          <w:sz w:val="20"/>
          <w:szCs w:val="20"/>
        </w:rPr>
      </w:pPr>
      <w:r>
        <w:rPr>
          <w:rFonts w:ascii="Franklin Gothic Book" w:hAnsi="Franklin Gothic Book"/>
          <w:b/>
          <w:sz w:val="20"/>
          <w:szCs w:val="20"/>
        </w:rPr>
        <w:t>Refin</w:t>
      </w:r>
      <w:r w:rsidR="000C60CD">
        <w:rPr>
          <w:rFonts w:ascii="Franklin Gothic Book" w:hAnsi="Franklin Gothic Book"/>
          <w:b/>
          <w:sz w:val="20"/>
          <w:szCs w:val="20"/>
        </w:rPr>
        <w:t>in</w:t>
      </w:r>
      <w:r>
        <w:rPr>
          <w:rFonts w:ascii="Franklin Gothic Book" w:hAnsi="Franklin Gothic Book"/>
          <w:b/>
          <w:sz w:val="20"/>
          <w:szCs w:val="20"/>
        </w:rPr>
        <w:t>g the template</w:t>
      </w:r>
    </w:p>
    <w:p w:rsidR="00245964" w:rsidRPr="00E14B52" w:rsidRDefault="00F41477" w:rsidP="00E14B52">
      <w:pPr>
        <w:numPr>
          <w:ilvl w:val="0"/>
          <w:numId w:val="2"/>
        </w:numPr>
        <w:spacing w:after="0"/>
        <w:rPr>
          <w:rFonts w:ascii="Franklin Gothic Book" w:hAnsi="Franklin Gothic Book"/>
          <w:sz w:val="20"/>
          <w:szCs w:val="20"/>
        </w:rPr>
      </w:pPr>
      <w:r w:rsidRPr="005B188D">
        <w:rPr>
          <w:rFonts w:ascii="Franklin Gothic Book" w:hAnsi="Franklin Gothic Book"/>
          <w:sz w:val="20"/>
          <w:szCs w:val="20"/>
        </w:rPr>
        <w:t>Displ</w:t>
      </w:r>
      <w:r w:rsidR="009A3128">
        <w:rPr>
          <w:rFonts w:ascii="Franklin Gothic Book" w:hAnsi="Franklin Gothic Book"/>
          <w:sz w:val="20"/>
          <w:szCs w:val="20"/>
        </w:rPr>
        <w:t>ay the draft</w:t>
      </w:r>
      <w:r w:rsidR="00CD28C2">
        <w:rPr>
          <w:rFonts w:ascii="Franklin Gothic Book" w:hAnsi="Franklin Gothic Book"/>
          <w:sz w:val="20"/>
          <w:szCs w:val="20"/>
        </w:rPr>
        <w:t xml:space="preserve"> template pages</w:t>
      </w:r>
      <w:r w:rsidR="008B1C57" w:rsidRPr="005B188D">
        <w:rPr>
          <w:rFonts w:ascii="Franklin Gothic Book" w:hAnsi="Franklin Gothic Book"/>
          <w:sz w:val="20"/>
          <w:szCs w:val="20"/>
        </w:rPr>
        <w:t xml:space="preserve"> in a shared </w:t>
      </w:r>
      <w:r w:rsidR="00D0499E">
        <w:rPr>
          <w:rFonts w:ascii="Franklin Gothic Book" w:hAnsi="Franklin Gothic Book"/>
          <w:sz w:val="20"/>
          <w:szCs w:val="20"/>
        </w:rPr>
        <w:t>area</w:t>
      </w:r>
      <w:r w:rsidR="008B1C57" w:rsidRPr="005B188D">
        <w:rPr>
          <w:rFonts w:ascii="Franklin Gothic Book" w:hAnsi="Franklin Gothic Book"/>
          <w:sz w:val="20"/>
          <w:szCs w:val="20"/>
        </w:rPr>
        <w:t xml:space="preserve"> e.g. staff room</w:t>
      </w:r>
      <w:r w:rsidR="00BE093D">
        <w:rPr>
          <w:rFonts w:ascii="Franklin Gothic Book" w:hAnsi="Franklin Gothic Book"/>
          <w:sz w:val="20"/>
          <w:szCs w:val="20"/>
        </w:rPr>
        <w:t>/meeting space</w:t>
      </w:r>
      <w:r w:rsidR="008B1C57" w:rsidRPr="005B188D">
        <w:rPr>
          <w:rFonts w:ascii="Franklin Gothic Book" w:hAnsi="Franklin Gothic Book"/>
          <w:sz w:val="20"/>
          <w:szCs w:val="20"/>
        </w:rPr>
        <w:t xml:space="preserve"> </w:t>
      </w:r>
      <w:r w:rsidR="00D0499E">
        <w:rPr>
          <w:rFonts w:ascii="Franklin Gothic Book" w:hAnsi="Franklin Gothic Book"/>
          <w:sz w:val="20"/>
          <w:szCs w:val="20"/>
        </w:rPr>
        <w:t>so you can all</w:t>
      </w:r>
      <w:r w:rsidR="008B1C57" w:rsidRPr="005B188D">
        <w:rPr>
          <w:rFonts w:ascii="Franklin Gothic Book" w:hAnsi="Franklin Gothic Book"/>
          <w:sz w:val="20"/>
          <w:szCs w:val="20"/>
        </w:rPr>
        <w:t xml:space="preserve"> add to or amend </w:t>
      </w:r>
      <w:r w:rsidR="00E14B52">
        <w:rPr>
          <w:rFonts w:ascii="Franklin Gothic Book" w:hAnsi="Franklin Gothic Book"/>
          <w:sz w:val="20"/>
          <w:szCs w:val="20"/>
        </w:rPr>
        <w:t xml:space="preserve">it </w:t>
      </w:r>
      <w:r w:rsidR="005B188D" w:rsidRPr="005B188D">
        <w:rPr>
          <w:rFonts w:ascii="Franklin Gothic Book" w:hAnsi="Franklin Gothic Book"/>
          <w:sz w:val="20"/>
          <w:szCs w:val="20"/>
        </w:rPr>
        <w:t xml:space="preserve">over the </w:t>
      </w:r>
      <w:r w:rsidR="00BC5271">
        <w:rPr>
          <w:rFonts w:ascii="Franklin Gothic Book" w:hAnsi="Franklin Gothic Book"/>
          <w:sz w:val="20"/>
          <w:szCs w:val="20"/>
        </w:rPr>
        <w:t xml:space="preserve">next </w:t>
      </w:r>
      <w:r w:rsidR="00E14B52">
        <w:rPr>
          <w:rFonts w:ascii="Franklin Gothic Book" w:hAnsi="Franklin Gothic Book"/>
          <w:sz w:val="20"/>
          <w:szCs w:val="20"/>
        </w:rPr>
        <w:t>weeks. L</w:t>
      </w:r>
      <w:r w:rsidR="00F81B3F">
        <w:rPr>
          <w:rFonts w:ascii="Franklin Gothic Book" w:hAnsi="Franklin Gothic Book"/>
          <w:sz w:val="20"/>
          <w:szCs w:val="20"/>
        </w:rPr>
        <w:t xml:space="preserve">eaving </w:t>
      </w:r>
      <w:r w:rsidR="005B188D" w:rsidRPr="005B188D">
        <w:rPr>
          <w:rFonts w:ascii="Franklin Gothic Book" w:hAnsi="Franklin Gothic Book"/>
          <w:sz w:val="20"/>
          <w:szCs w:val="20"/>
        </w:rPr>
        <w:t xml:space="preserve">post-its nearby encourages participation. </w:t>
      </w:r>
    </w:p>
    <w:p w:rsidR="00F41477" w:rsidRDefault="000C60CD" w:rsidP="00E14B52">
      <w:pPr>
        <w:numPr>
          <w:ilvl w:val="0"/>
          <w:numId w:val="2"/>
        </w:numPr>
        <w:spacing w:after="0"/>
        <w:rPr>
          <w:rFonts w:ascii="Franklin Gothic Book" w:hAnsi="Franklin Gothic Book"/>
          <w:sz w:val="20"/>
          <w:szCs w:val="20"/>
        </w:rPr>
      </w:pPr>
      <w:r>
        <w:rPr>
          <w:rFonts w:ascii="Franklin Gothic Book" w:hAnsi="Franklin Gothic Book"/>
          <w:sz w:val="20"/>
          <w:szCs w:val="20"/>
        </w:rPr>
        <w:t>Pass the sheets around again and have groups or pairs think about</w:t>
      </w:r>
      <w:r w:rsidR="00792AB5">
        <w:rPr>
          <w:rFonts w:ascii="Franklin Gothic Book" w:hAnsi="Franklin Gothic Book"/>
          <w:sz w:val="20"/>
          <w:szCs w:val="20"/>
        </w:rPr>
        <w:t xml:space="preserve"> any </w:t>
      </w:r>
      <w:r w:rsidR="00D3570D">
        <w:rPr>
          <w:rFonts w:ascii="Franklin Gothic Book" w:hAnsi="Franklin Gothic Book"/>
          <w:sz w:val="20"/>
          <w:szCs w:val="20"/>
        </w:rPr>
        <w:t>professional learning and development responses</w:t>
      </w:r>
      <w:r w:rsidR="00792AB5">
        <w:rPr>
          <w:rFonts w:ascii="Franklin Gothic Book" w:hAnsi="Franklin Gothic Book"/>
          <w:sz w:val="20"/>
          <w:szCs w:val="20"/>
        </w:rPr>
        <w:t xml:space="preserve"> you are currently</w:t>
      </w:r>
      <w:r w:rsidR="000E6833" w:rsidRPr="005B188D">
        <w:rPr>
          <w:rFonts w:ascii="Franklin Gothic Book" w:hAnsi="Franklin Gothic Book"/>
          <w:sz w:val="20"/>
          <w:szCs w:val="20"/>
        </w:rPr>
        <w:t xml:space="preserve"> </w:t>
      </w:r>
      <w:r w:rsidR="00EB1427">
        <w:rPr>
          <w:rFonts w:ascii="Franklin Gothic Book" w:hAnsi="Franklin Gothic Book"/>
          <w:sz w:val="20"/>
          <w:szCs w:val="20"/>
        </w:rPr>
        <w:t xml:space="preserve">working on e.g. </w:t>
      </w:r>
      <w:r w:rsidR="00C11D9B">
        <w:rPr>
          <w:rFonts w:ascii="Franklin Gothic Book" w:hAnsi="Franklin Gothic Book"/>
          <w:sz w:val="20"/>
          <w:szCs w:val="20"/>
        </w:rPr>
        <w:t>K</w:t>
      </w:r>
      <w:r w:rsidR="00C11D9B">
        <w:rPr>
          <w:rFonts w:ascii="Franklin Gothic Book" w:hAnsi="Franklin Gothic Book"/>
          <w:sz w:val="20"/>
          <w:szCs w:val="20"/>
          <w:lang w:val="mi-NZ"/>
        </w:rPr>
        <w:t>āhui Ako achievement challenges</w:t>
      </w:r>
      <w:r w:rsidR="00EB1427">
        <w:rPr>
          <w:rFonts w:ascii="Franklin Gothic Book" w:hAnsi="Franklin Gothic Book"/>
          <w:sz w:val="20"/>
          <w:szCs w:val="20"/>
        </w:rPr>
        <w:t xml:space="preserve">, </w:t>
      </w:r>
      <w:r w:rsidR="000E6833" w:rsidRPr="00F81B3F">
        <w:rPr>
          <w:rFonts w:ascii="Franklin Gothic Book" w:hAnsi="Franklin Gothic Book"/>
          <w:i/>
          <w:sz w:val="20"/>
          <w:szCs w:val="20"/>
        </w:rPr>
        <w:t>Te Whariki</w:t>
      </w:r>
      <w:r w:rsidR="00EB1427">
        <w:rPr>
          <w:rFonts w:ascii="Franklin Gothic Book" w:hAnsi="Franklin Gothic Book"/>
          <w:sz w:val="20"/>
          <w:szCs w:val="20"/>
        </w:rPr>
        <w:t>. Also use national documents e.g.</w:t>
      </w:r>
      <w:r w:rsidR="000E6833" w:rsidRPr="005B188D">
        <w:rPr>
          <w:rFonts w:ascii="Franklin Gothic Book" w:hAnsi="Franklin Gothic Book"/>
          <w:sz w:val="20"/>
          <w:szCs w:val="20"/>
        </w:rPr>
        <w:t xml:space="preserve"> </w:t>
      </w:r>
      <w:r w:rsidR="000E6833" w:rsidRPr="00F81B3F">
        <w:rPr>
          <w:rFonts w:ascii="Franklin Gothic Book" w:hAnsi="Franklin Gothic Book"/>
          <w:i/>
          <w:sz w:val="20"/>
          <w:szCs w:val="20"/>
        </w:rPr>
        <w:t>The New Zealand Curriculum</w:t>
      </w:r>
      <w:r w:rsidR="000E6833" w:rsidRPr="005B188D">
        <w:rPr>
          <w:rFonts w:ascii="Franklin Gothic Book" w:hAnsi="Franklin Gothic Book"/>
          <w:sz w:val="20"/>
          <w:szCs w:val="20"/>
        </w:rPr>
        <w:t xml:space="preserve">; </w:t>
      </w:r>
      <w:r w:rsidR="00C11D9B">
        <w:rPr>
          <w:rFonts w:ascii="Franklin Gothic Book" w:hAnsi="Franklin Gothic Book"/>
          <w:i/>
          <w:sz w:val="20"/>
          <w:szCs w:val="20"/>
        </w:rPr>
        <w:t>Ka Hikiti</w:t>
      </w:r>
      <w:r w:rsidR="009D33D2">
        <w:rPr>
          <w:rFonts w:ascii="Franklin Gothic Book" w:hAnsi="Franklin Gothic Book"/>
          <w:i/>
          <w:sz w:val="20"/>
          <w:szCs w:val="20"/>
        </w:rPr>
        <w:t>a</w:t>
      </w:r>
      <w:r w:rsidR="00C11D9B">
        <w:rPr>
          <w:rFonts w:ascii="Franklin Gothic Book" w:hAnsi="Franklin Gothic Book"/>
          <w:i/>
          <w:sz w:val="20"/>
          <w:szCs w:val="20"/>
        </w:rPr>
        <w:t>;</w:t>
      </w:r>
      <w:r w:rsidR="000E6833" w:rsidRPr="00F81B3F">
        <w:rPr>
          <w:rFonts w:ascii="Franklin Gothic Book" w:hAnsi="Franklin Gothic Book"/>
          <w:i/>
          <w:sz w:val="20"/>
          <w:szCs w:val="20"/>
        </w:rPr>
        <w:t xml:space="preserve"> Success for All</w:t>
      </w:r>
      <w:r w:rsidR="000E6833" w:rsidRPr="005B188D">
        <w:rPr>
          <w:rFonts w:ascii="Franklin Gothic Book" w:hAnsi="Franklin Gothic Book"/>
          <w:sz w:val="20"/>
          <w:szCs w:val="20"/>
        </w:rPr>
        <w:t xml:space="preserve">; </w:t>
      </w:r>
      <w:r w:rsidR="000E6833" w:rsidRPr="00F81B3F">
        <w:rPr>
          <w:rFonts w:ascii="Franklin Gothic Book" w:hAnsi="Franklin Gothic Book"/>
          <w:i/>
          <w:sz w:val="20"/>
          <w:szCs w:val="20"/>
        </w:rPr>
        <w:t>Pasifika Education Plan</w:t>
      </w:r>
      <w:r w:rsidR="000E6833" w:rsidRPr="005B188D">
        <w:rPr>
          <w:rFonts w:ascii="Franklin Gothic Book" w:hAnsi="Franklin Gothic Book"/>
          <w:sz w:val="20"/>
          <w:szCs w:val="20"/>
        </w:rPr>
        <w:t xml:space="preserve">; </w:t>
      </w:r>
      <w:r w:rsidR="000E6833" w:rsidRPr="00F81B3F">
        <w:rPr>
          <w:rFonts w:ascii="Franklin Gothic Book" w:hAnsi="Franklin Gothic Book"/>
          <w:i/>
          <w:sz w:val="20"/>
          <w:szCs w:val="20"/>
        </w:rPr>
        <w:t>Tātaiako</w:t>
      </w:r>
      <w:r w:rsidR="00C11D9B">
        <w:rPr>
          <w:rFonts w:ascii="Franklin Gothic Book" w:hAnsi="Franklin Gothic Book"/>
          <w:i/>
          <w:sz w:val="20"/>
          <w:szCs w:val="20"/>
        </w:rPr>
        <w:t>; Te Marautanga o Aotearoa</w:t>
      </w:r>
      <w:r w:rsidR="000E6833" w:rsidRPr="005B188D">
        <w:rPr>
          <w:rFonts w:ascii="Franklin Gothic Book" w:hAnsi="Franklin Gothic Book"/>
          <w:sz w:val="20"/>
          <w:szCs w:val="20"/>
        </w:rPr>
        <w:t xml:space="preserve">). </w:t>
      </w:r>
      <w:r w:rsidR="00EB1427">
        <w:rPr>
          <w:rFonts w:ascii="Franklin Gothic Book" w:hAnsi="Franklin Gothic Book"/>
          <w:sz w:val="20"/>
          <w:szCs w:val="20"/>
        </w:rPr>
        <w:t>You could also u</w:t>
      </w:r>
      <w:r w:rsidR="00BF2A66">
        <w:rPr>
          <w:rFonts w:ascii="Franklin Gothic Book" w:hAnsi="Franklin Gothic Book"/>
          <w:sz w:val="20"/>
          <w:szCs w:val="20"/>
        </w:rPr>
        <w:t>se research publications</w:t>
      </w:r>
      <w:r w:rsidR="00BF2A66" w:rsidRPr="00BF2A66">
        <w:rPr>
          <w:rFonts w:ascii="Franklin Gothic Book" w:hAnsi="Franklin Gothic Book"/>
          <w:sz w:val="20"/>
          <w:szCs w:val="20"/>
        </w:rPr>
        <w:t xml:space="preserve"> </w:t>
      </w:r>
      <w:r w:rsidR="00BF2A66">
        <w:rPr>
          <w:rFonts w:ascii="Franklin Gothic Book" w:hAnsi="Franklin Gothic Book"/>
          <w:sz w:val="20"/>
          <w:szCs w:val="20"/>
        </w:rPr>
        <w:t>relevant to your c</w:t>
      </w:r>
      <w:r w:rsidR="0086575B">
        <w:rPr>
          <w:rFonts w:ascii="Franklin Gothic Book" w:hAnsi="Franklin Gothic Book"/>
          <w:sz w:val="20"/>
          <w:szCs w:val="20"/>
        </w:rPr>
        <w:t>ontext, goals and strategic plan</w:t>
      </w:r>
      <w:r w:rsidR="00CD28C2">
        <w:rPr>
          <w:rFonts w:ascii="Franklin Gothic Book" w:hAnsi="Franklin Gothic Book"/>
          <w:sz w:val="20"/>
          <w:szCs w:val="20"/>
        </w:rPr>
        <w:t xml:space="preserve"> </w:t>
      </w:r>
      <w:r w:rsidR="00772D4D">
        <w:rPr>
          <w:rFonts w:ascii="Franklin Gothic Book" w:hAnsi="Franklin Gothic Book"/>
          <w:sz w:val="20"/>
          <w:szCs w:val="20"/>
        </w:rPr>
        <w:t>a</w:t>
      </w:r>
      <w:r w:rsidR="00CD28C2">
        <w:rPr>
          <w:rFonts w:ascii="Franklin Gothic Book" w:hAnsi="Franklin Gothic Book"/>
          <w:sz w:val="20"/>
          <w:szCs w:val="20"/>
        </w:rPr>
        <w:t>dd to/amend/remove anything recorded as a quality practice.</w:t>
      </w:r>
    </w:p>
    <w:p w:rsidR="00792AB5" w:rsidRDefault="000C60CD" w:rsidP="00E14B52">
      <w:pPr>
        <w:numPr>
          <w:ilvl w:val="0"/>
          <w:numId w:val="2"/>
        </w:numPr>
        <w:spacing w:after="0"/>
        <w:rPr>
          <w:rFonts w:ascii="Franklin Gothic Book" w:hAnsi="Franklin Gothic Book"/>
          <w:sz w:val="20"/>
          <w:szCs w:val="20"/>
        </w:rPr>
      </w:pPr>
      <w:r>
        <w:rPr>
          <w:rFonts w:ascii="Franklin Gothic Book" w:hAnsi="Franklin Gothic Book"/>
          <w:sz w:val="20"/>
          <w:szCs w:val="20"/>
        </w:rPr>
        <w:t>Talk about whether any of these are</w:t>
      </w:r>
      <w:r w:rsidR="00EB1427">
        <w:rPr>
          <w:rFonts w:ascii="Franklin Gothic Book" w:hAnsi="Franklin Gothic Book"/>
          <w:sz w:val="20"/>
          <w:szCs w:val="20"/>
        </w:rPr>
        <w:t xml:space="preserve"> ‘must dos’ </w:t>
      </w:r>
      <w:r>
        <w:rPr>
          <w:rFonts w:ascii="Franklin Gothic Book" w:hAnsi="Franklin Gothic Book"/>
          <w:sz w:val="20"/>
          <w:szCs w:val="20"/>
        </w:rPr>
        <w:t>or</w:t>
      </w:r>
      <w:r w:rsidR="00EB1427">
        <w:rPr>
          <w:rFonts w:ascii="Franklin Gothic Book" w:hAnsi="Franklin Gothic Book"/>
          <w:sz w:val="20"/>
          <w:szCs w:val="20"/>
        </w:rPr>
        <w:t xml:space="preserve"> ‘might dos’</w:t>
      </w:r>
      <w:r>
        <w:rPr>
          <w:rFonts w:ascii="Franklin Gothic Book" w:hAnsi="Franklin Gothic Book"/>
          <w:sz w:val="20"/>
          <w:szCs w:val="20"/>
        </w:rPr>
        <w:t xml:space="preserve"> because they relate to particular roles etc.</w:t>
      </w:r>
    </w:p>
    <w:p w:rsidR="00F81B3F" w:rsidRDefault="00F81B3F" w:rsidP="00F81B3F">
      <w:pPr>
        <w:spacing w:after="0"/>
        <w:rPr>
          <w:rFonts w:ascii="Franklin Gothic Book" w:hAnsi="Franklin Gothic Book"/>
          <w:sz w:val="20"/>
          <w:szCs w:val="20"/>
        </w:rPr>
      </w:pPr>
    </w:p>
    <w:p w:rsidR="00E14B52" w:rsidRPr="000C60CD" w:rsidRDefault="00E14B52" w:rsidP="00E14B52">
      <w:pPr>
        <w:spacing w:after="0"/>
        <w:ind w:hanging="284"/>
        <w:rPr>
          <w:rFonts w:ascii="Franklin Gothic Book" w:hAnsi="Franklin Gothic Book"/>
          <w:b/>
          <w:sz w:val="20"/>
          <w:szCs w:val="20"/>
        </w:rPr>
      </w:pPr>
      <w:r w:rsidRPr="000C60CD">
        <w:rPr>
          <w:rFonts w:ascii="Franklin Gothic Book" w:hAnsi="Franklin Gothic Book"/>
          <w:b/>
          <w:sz w:val="20"/>
          <w:szCs w:val="20"/>
        </w:rPr>
        <w:t>Thinking about evidence</w:t>
      </w:r>
    </w:p>
    <w:p w:rsidR="00F41477" w:rsidRPr="009A3128" w:rsidRDefault="0086575B" w:rsidP="00B2589F">
      <w:pPr>
        <w:numPr>
          <w:ilvl w:val="0"/>
          <w:numId w:val="2"/>
        </w:numPr>
        <w:spacing w:after="0"/>
        <w:ind w:hanging="284"/>
        <w:rPr>
          <w:rFonts w:ascii="Franklin Gothic Book" w:hAnsi="Franklin Gothic Book"/>
          <w:b/>
          <w:sz w:val="20"/>
          <w:szCs w:val="20"/>
        </w:rPr>
      </w:pPr>
      <w:r>
        <w:rPr>
          <w:rFonts w:ascii="Franklin Gothic Book" w:hAnsi="Franklin Gothic Book"/>
          <w:sz w:val="20"/>
          <w:szCs w:val="20"/>
        </w:rPr>
        <w:t>T</w:t>
      </w:r>
      <w:r w:rsidR="00F41477" w:rsidRPr="009A3128">
        <w:rPr>
          <w:rFonts w:ascii="Franklin Gothic Book" w:hAnsi="Franklin Gothic Book"/>
          <w:sz w:val="20"/>
          <w:szCs w:val="20"/>
        </w:rPr>
        <w:t xml:space="preserve">alk </w:t>
      </w:r>
      <w:r w:rsidR="00F81B3F" w:rsidRPr="009A3128">
        <w:rPr>
          <w:rFonts w:ascii="Franklin Gothic Book" w:hAnsi="Franklin Gothic Book"/>
          <w:sz w:val="20"/>
          <w:szCs w:val="20"/>
        </w:rPr>
        <w:t xml:space="preserve">with </w:t>
      </w:r>
      <w:r w:rsidR="00E14B52" w:rsidRPr="009A3128">
        <w:rPr>
          <w:rFonts w:ascii="Franklin Gothic Book" w:hAnsi="Franklin Gothic Book"/>
          <w:sz w:val="20"/>
          <w:szCs w:val="20"/>
        </w:rPr>
        <w:t>your colleagues</w:t>
      </w:r>
      <w:r w:rsidR="00F81B3F" w:rsidRPr="009A3128">
        <w:rPr>
          <w:rFonts w:ascii="Franklin Gothic Book" w:hAnsi="Franklin Gothic Book"/>
          <w:sz w:val="20"/>
          <w:szCs w:val="20"/>
        </w:rPr>
        <w:t xml:space="preserve"> </w:t>
      </w:r>
      <w:r w:rsidR="00F41477" w:rsidRPr="009A3128">
        <w:rPr>
          <w:rFonts w:ascii="Franklin Gothic Book" w:hAnsi="Franklin Gothic Book"/>
          <w:sz w:val="20"/>
          <w:szCs w:val="20"/>
        </w:rPr>
        <w:t xml:space="preserve">about </w:t>
      </w:r>
      <w:r w:rsidR="009A3128" w:rsidRPr="009A3128">
        <w:rPr>
          <w:rFonts w:ascii="Franklin Gothic Book" w:hAnsi="Franklin Gothic Book"/>
          <w:sz w:val="20"/>
          <w:szCs w:val="20"/>
        </w:rPr>
        <w:t>the evidence you use/analyse as part of these practices</w:t>
      </w:r>
      <w:r w:rsidR="00F81B3F" w:rsidRPr="009A3128">
        <w:rPr>
          <w:rFonts w:ascii="Franklin Gothic Book" w:hAnsi="Franklin Gothic Book"/>
          <w:sz w:val="20"/>
          <w:szCs w:val="20"/>
        </w:rPr>
        <w:t>.</w:t>
      </w:r>
      <w:r w:rsidR="00995EFF">
        <w:rPr>
          <w:rFonts w:ascii="Franklin Gothic Book" w:hAnsi="Franklin Gothic Book"/>
          <w:sz w:val="20"/>
          <w:szCs w:val="20"/>
        </w:rPr>
        <w:t xml:space="preserve"> Record it in column four.</w:t>
      </w:r>
      <w:r w:rsidR="00F81B3F" w:rsidRPr="009A3128">
        <w:rPr>
          <w:rFonts w:ascii="Franklin Gothic Book" w:hAnsi="Franklin Gothic Book"/>
          <w:i/>
          <w:sz w:val="20"/>
          <w:szCs w:val="20"/>
        </w:rPr>
        <w:t xml:space="preserve"> </w:t>
      </w:r>
      <w:r w:rsidR="009A3128">
        <w:rPr>
          <w:rFonts w:ascii="Franklin Gothic Book" w:hAnsi="Franklin Gothic Book"/>
          <w:sz w:val="20"/>
          <w:szCs w:val="20"/>
        </w:rPr>
        <w:t>This evidence already exist</w:t>
      </w:r>
      <w:r>
        <w:rPr>
          <w:rFonts w:ascii="Franklin Gothic Book" w:hAnsi="Franklin Gothic Book"/>
          <w:sz w:val="20"/>
          <w:szCs w:val="20"/>
        </w:rPr>
        <w:t>s</w:t>
      </w:r>
      <w:r w:rsidR="009A3128">
        <w:rPr>
          <w:rFonts w:ascii="Franklin Gothic Book" w:hAnsi="Franklin Gothic Book"/>
          <w:sz w:val="20"/>
          <w:szCs w:val="20"/>
        </w:rPr>
        <w:t xml:space="preserve"> and does not need to be ‘gathered’ ‘hyper-linked’ or ‘identified in any additional manner for the purpose of appraisal unless it forms part of </w:t>
      </w:r>
      <w:r w:rsidR="00CD28C2">
        <w:rPr>
          <w:rFonts w:ascii="Franklin Gothic Book" w:hAnsi="Franklin Gothic Book"/>
          <w:sz w:val="20"/>
          <w:szCs w:val="20"/>
        </w:rPr>
        <w:t>a</w:t>
      </w:r>
      <w:r w:rsidR="009A3128">
        <w:rPr>
          <w:rFonts w:ascii="Franklin Gothic Book" w:hAnsi="Franklin Gothic Book"/>
          <w:sz w:val="20"/>
          <w:szCs w:val="20"/>
        </w:rPr>
        <w:t xml:space="preserve"> teacher</w:t>
      </w:r>
      <w:r w:rsidR="00CD28C2">
        <w:rPr>
          <w:rFonts w:ascii="Franklin Gothic Book" w:hAnsi="Franklin Gothic Book"/>
          <w:sz w:val="20"/>
          <w:szCs w:val="20"/>
        </w:rPr>
        <w:t>’</w:t>
      </w:r>
      <w:r w:rsidR="009A3128">
        <w:rPr>
          <w:rFonts w:ascii="Franklin Gothic Book" w:hAnsi="Franklin Gothic Book"/>
          <w:sz w:val="20"/>
          <w:szCs w:val="20"/>
        </w:rPr>
        <w:t>s goal or inquiry record that they may be using for appraisal.</w:t>
      </w:r>
    </w:p>
    <w:p w:rsidR="009A3128" w:rsidRPr="009A3128" w:rsidRDefault="009A3128" w:rsidP="009A3128">
      <w:pPr>
        <w:spacing w:after="0"/>
        <w:ind w:left="720"/>
        <w:rPr>
          <w:rFonts w:ascii="Franklin Gothic Book" w:hAnsi="Franklin Gothic Book"/>
          <w:b/>
          <w:sz w:val="20"/>
          <w:szCs w:val="20"/>
        </w:rPr>
      </w:pPr>
    </w:p>
    <w:p w:rsidR="00E14B52" w:rsidRPr="000C60CD" w:rsidRDefault="00FE0913" w:rsidP="00E14B52">
      <w:pPr>
        <w:spacing w:after="0"/>
        <w:ind w:hanging="284"/>
        <w:rPr>
          <w:rFonts w:ascii="Franklin Gothic Book" w:hAnsi="Franklin Gothic Book"/>
          <w:b/>
          <w:sz w:val="20"/>
          <w:szCs w:val="20"/>
        </w:rPr>
      </w:pPr>
      <w:r>
        <w:rPr>
          <w:rFonts w:ascii="Franklin Gothic Book" w:hAnsi="Franklin Gothic Book"/>
          <w:b/>
          <w:sz w:val="20"/>
          <w:szCs w:val="20"/>
        </w:rPr>
        <w:t xml:space="preserve">Including </w:t>
      </w:r>
      <w:r w:rsidR="0086575B">
        <w:rPr>
          <w:rFonts w:ascii="Franklin Gothic Book" w:hAnsi="Franklin Gothic Book"/>
          <w:b/>
          <w:sz w:val="20"/>
          <w:szCs w:val="20"/>
        </w:rPr>
        <w:t>the findings from teachers’ inquiries</w:t>
      </w:r>
    </w:p>
    <w:p w:rsidR="00F41477" w:rsidRPr="005B188D" w:rsidRDefault="00995EFF" w:rsidP="00F41477">
      <w:pPr>
        <w:numPr>
          <w:ilvl w:val="0"/>
          <w:numId w:val="2"/>
        </w:numPr>
        <w:spacing w:after="0"/>
        <w:rPr>
          <w:rFonts w:ascii="Franklin Gothic Book" w:hAnsi="Franklin Gothic Book"/>
          <w:sz w:val="20"/>
          <w:szCs w:val="20"/>
        </w:rPr>
      </w:pPr>
      <w:r>
        <w:rPr>
          <w:rFonts w:ascii="Franklin Gothic Book" w:hAnsi="Franklin Gothic Book"/>
          <w:sz w:val="20"/>
          <w:szCs w:val="20"/>
        </w:rPr>
        <w:t>As</w:t>
      </w:r>
      <w:r w:rsidR="00F41477" w:rsidRPr="005B188D">
        <w:rPr>
          <w:rFonts w:ascii="Franklin Gothic Book" w:hAnsi="Franklin Gothic Book"/>
          <w:sz w:val="20"/>
          <w:szCs w:val="20"/>
        </w:rPr>
        <w:t xml:space="preserve"> teachers complete inquiries</w:t>
      </w:r>
      <w:r w:rsidR="00E14B52">
        <w:rPr>
          <w:rFonts w:ascii="Franklin Gothic Book" w:hAnsi="Franklin Gothic Book"/>
          <w:sz w:val="20"/>
          <w:szCs w:val="20"/>
        </w:rPr>
        <w:t xml:space="preserve"> or </w:t>
      </w:r>
      <w:r w:rsidR="00F81B3F">
        <w:rPr>
          <w:rFonts w:ascii="Franklin Gothic Book" w:hAnsi="Franklin Gothic Book"/>
          <w:sz w:val="20"/>
          <w:szCs w:val="20"/>
        </w:rPr>
        <w:t>self-reviews</w:t>
      </w:r>
      <w:r w:rsidR="00E14B52">
        <w:rPr>
          <w:rFonts w:ascii="Franklin Gothic Book" w:hAnsi="Franklin Gothic Book"/>
          <w:sz w:val="20"/>
          <w:szCs w:val="20"/>
        </w:rPr>
        <w:t xml:space="preserve">, </w:t>
      </w:r>
      <w:r w:rsidR="00F81B3F">
        <w:rPr>
          <w:rFonts w:ascii="Franklin Gothic Book" w:hAnsi="Franklin Gothic Book"/>
          <w:sz w:val="20"/>
          <w:szCs w:val="20"/>
        </w:rPr>
        <w:t xml:space="preserve">discuss and </w:t>
      </w:r>
      <w:r w:rsidR="00F41477" w:rsidRPr="005B188D">
        <w:rPr>
          <w:rFonts w:ascii="Franklin Gothic Book" w:hAnsi="Franklin Gothic Book"/>
          <w:sz w:val="20"/>
          <w:szCs w:val="20"/>
        </w:rPr>
        <w:t xml:space="preserve">analyse their new </w:t>
      </w:r>
      <w:r w:rsidR="00E52523">
        <w:rPr>
          <w:rFonts w:ascii="Franklin Gothic Book" w:hAnsi="Franklin Gothic Book"/>
          <w:sz w:val="20"/>
          <w:szCs w:val="20"/>
        </w:rPr>
        <w:t>understandings</w:t>
      </w:r>
      <w:r w:rsidR="00CD28C2">
        <w:rPr>
          <w:rFonts w:ascii="Franklin Gothic Book" w:hAnsi="Franklin Gothic Book"/>
          <w:sz w:val="20"/>
          <w:szCs w:val="20"/>
        </w:rPr>
        <w:t>/knowledge about</w:t>
      </w:r>
      <w:r w:rsidR="00F41477" w:rsidRPr="005B188D">
        <w:rPr>
          <w:rFonts w:ascii="Franklin Gothic Book" w:hAnsi="Franklin Gothic Book"/>
          <w:sz w:val="20"/>
          <w:szCs w:val="20"/>
        </w:rPr>
        <w:t xml:space="preserve"> </w:t>
      </w:r>
      <w:r w:rsidR="00F81B3F">
        <w:rPr>
          <w:rFonts w:ascii="Franklin Gothic Book" w:hAnsi="Franklin Gothic Book"/>
          <w:sz w:val="20"/>
          <w:szCs w:val="20"/>
        </w:rPr>
        <w:t>quality practice</w:t>
      </w:r>
      <w:r w:rsidR="00CD28C2">
        <w:rPr>
          <w:rFonts w:ascii="Franklin Gothic Book" w:hAnsi="Franklin Gothic Book"/>
          <w:sz w:val="20"/>
          <w:szCs w:val="20"/>
        </w:rPr>
        <w:t>. A</w:t>
      </w:r>
      <w:r w:rsidR="00E52523">
        <w:rPr>
          <w:rFonts w:ascii="Franklin Gothic Book" w:hAnsi="Franklin Gothic Book"/>
          <w:sz w:val="20"/>
          <w:szCs w:val="20"/>
        </w:rPr>
        <w:t>dd these</w:t>
      </w:r>
      <w:r w:rsidR="00F41477" w:rsidRPr="005B188D">
        <w:rPr>
          <w:rFonts w:ascii="Franklin Gothic Book" w:hAnsi="Franklin Gothic Book"/>
          <w:sz w:val="20"/>
          <w:szCs w:val="20"/>
        </w:rPr>
        <w:t xml:space="preserve"> to your </w:t>
      </w:r>
      <w:r w:rsidR="00F81B3F">
        <w:rPr>
          <w:rFonts w:ascii="Franklin Gothic Book" w:hAnsi="Franklin Gothic Book"/>
          <w:sz w:val="20"/>
          <w:szCs w:val="20"/>
        </w:rPr>
        <w:t xml:space="preserve">template </w:t>
      </w:r>
      <w:r w:rsidR="00F41477" w:rsidRPr="005B188D">
        <w:rPr>
          <w:rFonts w:ascii="Franklin Gothic Book" w:hAnsi="Franklin Gothic Book"/>
          <w:sz w:val="20"/>
          <w:szCs w:val="20"/>
        </w:rPr>
        <w:t>document.</w:t>
      </w:r>
    </w:p>
    <w:p w:rsidR="00F51223" w:rsidRPr="00EF050D" w:rsidRDefault="00F41477" w:rsidP="00792AB5">
      <w:pPr>
        <w:numPr>
          <w:ilvl w:val="0"/>
          <w:numId w:val="2"/>
        </w:numPr>
        <w:spacing w:after="0"/>
        <w:rPr>
          <w:rFonts w:ascii="Franklin Gothic Book" w:hAnsi="Franklin Gothic Book"/>
          <w:sz w:val="20"/>
          <w:szCs w:val="20"/>
        </w:rPr>
      </w:pPr>
      <w:r w:rsidRPr="0086575B">
        <w:rPr>
          <w:rFonts w:ascii="Franklin Gothic Book" w:hAnsi="Franklin Gothic Book"/>
          <w:sz w:val="20"/>
          <w:szCs w:val="20"/>
        </w:rPr>
        <w:t xml:space="preserve">Use this reference document </w:t>
      </w:r>
      <w:r w:rsidR="00E52523" w:rsidRPr="0086575B">
        <w:rPr>
          <w:rFonts w:ascii="Franklin Gothic Book" w:hAnsi="Franklin Gothic Book"/>
          <w:sz w:val="20"/>
          <w:szCs w:val="20"/>
        </w:rPr>
        <w:t xml:space="preserve">for goal setting and in </w:t>
      </w:r>
      <w:r w:rsidR="00291BB6" w:rsidRPr="0086575B">
        <w:rPr>
          <w:rFonts w:ascii="Franklin Gothic Book" w:hAnsi="Franklin Gothic Book"/>
          <w:sz w:val="20"/>
          <w:szCs w:val="20"/>
        </w:rPr>
        <w:t xml:space="preserve">appraisal conversations. </w:t>
      </w:r>
      <w:r w:rsidR="00EB1427" w:rsidRPr="0086575B">
        <w:rPr>
          <w:rFonts w:ascii="Franklin Gothic Book" w:hAnsi="Franklin Gothic Book"/>
          <w:sz w:val="20"/>
          <w:szCs w:val="20"/>
        </w:rPr>
        <w:t>It will also be valuable for your internal evaluation.</w:t>
      </w:r>
      <w:r w:rsidR="0086575B" w:rsidRPr="0086575B">
        <w:rPr>
          <w:rFonts w:ascii="Franklin Gothic Book" w:hAnsi="Franklin Gothic Book"/>
          <w:sz w:val="20"/>
          <w:szCs w:val="20"/>
        </w:rPr>
        <w:t xml:space="preserve"> You might even share it with your board members.</w:t>
      </w:r>
    </w:p>
    <w:p w:rsidR="00F51223" w:rsidRPr="00EF050D" w:rsidRDefault="00F51223" w:rsidP="00EF050D">
      <w:pPr>
        <w:spacing w:after="0"/>
        <w:rPr>
          <w:i/>
          <w:sz w:val="20"/>
          <w:szCs w:val="20"/>
        </w:rPr>
        <w:sectPr w:rsidR="00F51223" w:rsidRPr="00EF050D" w:rsidSect="000C60CD">
          <w:pgSz w:w="11906" w:h="16838"/>
          <w:pgMar w:top="993" w:right="849" w:bottom="851" w:left="851" w:header="708" w:footer="708" w:gutter="0"/>
          <w:cols w:space="708"/>
          <w:docGrid w:linePitch="360"/>
        </w:sectPr>
      </w:pPr>
    </w:p>
    <w:p w:rsidR="00F51223" w:rsidRPr="00B022AB" w:rsidRDefault="00F51223" w:rsidP="00F51223">
      <w:pPr>
        <w:rPr>
          <w:sz w:val="32"/>
          <w:szCs w:val="32"/>
        </w:rPr>
      </w:pPr>
      <w:r w:rsidRPr="00B022AB">
        <w:rPr>
          <w:b/>
          <w:sz w:val="32"/>
          <w:szCs w:val="32"/>
        </w:rPr>
        <w:lastRenderedPageBreak/>
        <w:t xml:space="preserve">Quality Practice - </w:t>
      </w:r>
      <w:r w:rsidRPr="00B022AB">
        <w:rPr>
          <w:b/>
          <w:i/>
          <w:sz w:val="32"/>
          <w:szCs w:val="32"/>
        </w:rPr>
        <w:t>Standards for the Teaching Profession</w:t>
      </w:r>
      <w:r>
        <w:rPr>
          <w:b/>
          <w:i/>
          <w:sz w:val="32"/>
          <w:szCs w:val="32"/>
        </w:rPr>
        <w:t>-to be completed in faculty, syndicate, department groups, not by individual teachers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3"/>
        <w:gridCol w:w="5203"/>
        <w:gridCol w:w="7229"/>
        <w:gridCol w:w="4775"/>
      </w:tblGrid>
      <w:tr w:rsidR="00F51223" w:rsidTr="00C35B87">
        <w:tc>
          <w:tcPr>
            <w:tcW w:w="3723" w:type="dxa"/>
            <w:shd w:val="clear" w:color="auto" w:fill="auto"/>
          </w:tcPr>
          <w:p w:rsidR="00F51223" w:rsidRPr="00C35B87" w:rsidRDefault="00F51223" w:rsidP="00C35B87">
            <w:pPr>
              <w:rPr>
                <w:rFonts w:eastAsia="Times New Roman"/>
                <w:b/>
                <w:sz w:val="28"/>
                <w:szCs w:val="28"/>
              </w:rPr>
            </w:pPr>
            <w:r w:rsidRPr="00C35B87">
              <w:rPr>
                <w:rFonts w:eastAsia="Times New Roman"/>
                <w:b/>
                <w:sz w:val="28"/>
                <w:szCs w:val="28"/>
              </w:rPr>
              <w:t>Standard</w:t>
            </w:r>
          </w:p>
        </w:tc>
        <w:tc>
          <w:tcPr>
            <w:tcW w:w="5203" w:type="dxa"/>
            <w:shd w:val="clear" w:color="auto" w:fill="auto"/>
          </w:tcPr>
          <w:p w:rsidR="00F51223" w:rsidRPr="00C35B87" w:rsidRDefault="00F51223" w:rsidP="00C35B87">
            <w:pPr>
              <w:pStyle w:val="ColorfulList-Accent1"/>
              <w:ind w:left="421"/>
              <w:rPr>
                <w:rFonts w:eastAsia="Times New Roman"/>
                <w:b/>
                <w:sz w:val="28"/>
                <w:szCs w:val="28"/>
              </w:rPr>
            </w:pPr>
            <w:r w:rsidRPr="00C35B87">
              <w:rPr>
                <w:rFonts w:eastAsia="Times New Roman"/>
                <w:b/>
                <w:sz w:val="28"/>
                <w:szCs w:val="28"/>
              </w:rPr>
              <w:t>Elaborations of the standard</w:t>
            </w:r>
          </w:p>
        </w:tc>
        <w:tc>
          <w:tcPr>
            <w:tcW w:w="7229" w:type="dxa"/>
            <w:shd w:val="clear" w:color="auto" w:fill="auto"/>
          </w:tcPr>
          <w:p w:rsidR="00F51223" w:rsidRPr="00C35B87" w:rsidRDefault="00F51223" w:rsidP="00C35B87">
            <w:pPr>
              <w:rPr>
                <w:b/>
                <w:sz w:val="28"/>
                <w:szCs w:val="28"/>
              </w:rPr>
            </w:pPr>
            <w:r w:rsidRPr="00C35B87">
              <w:rPr>
                <w:b/>
                <w:sz w:val="28"/>
                <w:szCs w:val="28"/>
              </w:rPr>
              <w:t>What quality practices do you use in your setting that connect with this standard?</w:t>
            </w:r>
          </w:p>
        </w:tc>
        <w:tc>
          <w:tcPr>
            <w:tcW w:w="4775" w:type="dxa"/>
            <w:shd w:val="clear" w:color="auto" w:fill="auto"/>
          </w:tcPr>
          <w:p w:rsidR="00F51223" w:rsidRPr="00C35B87" w:rsidRDefault="00F51223" w:rsidP="00C35B87">
            <w:pPr>
              <w:rPr>
                <w:b/>
                <w:sz w:val="28"/>
                <w:szCs w:val="28"/>
              </w:rPr>
            </w:pPr>
            <w:r w:rsidRPr="00C35B87">
              <w:rPr>
                <w:b/>
                <w:sz w:val="28"/>
                <w:szCs w:val="28"/>
              </w:rPr>
              <w:t>What evidence do you use that demonstrates these quality practices?</w:t>
            </w:r>
          </w:p>
        </w:tc>
      </w:tr>
      <w:tr w:rsidR="00F51223" w:rsidTr="00C35B87">
        <w:tc>
          <w:tcPr>
            <w:tcW w:w="3723" w:type="dxa"/>
            <w:shd w:val="clear" w:color="auto" w:fill="auto"/>
          </w:tcPr>
          <w:p w:rsidR="00F51223" w:rsidRPr="00C35B87" w:rsidRDefault="00F51223" w:rsidP="00C35B87">
            <w:pPr>
              <w:rPr>
                <w:b/>
              </w:rPr>
            </w:pPr>
            <w:r w:rsidRPr="00C35B87">
              <w:rPr>
                <w:b/>
              </w:rPr>
              <w:t>Te Tiriti o Waitangi partnership</w:t>
            </w:r>
          </w:p>
          <w:p w:rsidR="00F51223" w:rsidRPr="00B022AB" w:rsidRDefault="00F51223" w:rsidP="00C35B87"/>
          <w:p w:rsidR="00F51223" w:rsidRPr="00B022AB" w:rsidRDefault="00F51223" w:rsidP="00C35B87">
            <w:r w:rsidRPr="00B022AB">
              <w:t>Demonstrate commitment to tangata whenuatanga and Te Tiriti o Waitangi partnership in Aotearoa New Zealand.</w:t>
            </w:r>
          </w:p>
          <w:p w:rsidR="00F51223" w:rsidRPr="00B022AB" w:rsidRDefault="00F51223" w:rsidP="00C35B87"/>
          <w:p w:rsidR="00F51223" w:rsidRPr="00B022AB" w:rsidRDefault="00F51223" w:rsidP="00C35B87"/>
        </w:tc>
        <w:tc>
          <w:tcPr>
            <w:tcW w:w="5203" w:type="dxa"/>
            <w:shd w:val="clear" w:color="auto" w:fill="auto"/>
          </w:tcPr>
          <w:p w:rsidR="00F51223" w:rsidRPr="00C35B87" w:rsidRDefault="00F51223" w:rsidP="00C35B87">
            <w:pPr>
              <w:pStyle w:val="ColorfulList-Accent1"/>
              <w:ind w:left="360"/>
              <w:rPr>
                <w:sz w:val="24"/>
                <w:szCs w:val="24"/>
              </w:rPr>
            </w:pPr>
          </w:p>
          <w:p w:rsidR="00F51223" w:rsidRPr="00B022AB" w:rsidRDefault="00F51223" w:rsidP="00C35B87">
            <w:pPr>
              <w:ind w:left="113"/>
            </w:pPr>
            <w:r w:rsidRPr="00B022AB">
              <w:t>Understand and recognise of the unique status of tangata whenua in Aotearoa New Zealand.</w:t>
            </w:r>
          </w:p>
          <w:p w:rsidR="00F51223" w:rsidRPr="00C35B87" w:rsidRDefault="00F51223" w:rsidP="00C35B87">
            <w:pPr>
              <w:pStyle w:val="ColorfulList-Accent1"/>
              <w:ind w:left="360"/>
              <w:rPr>
                <w:sz w:val="24"/>
                <w:szCs w:val="24"/>
              </w:rPr>
            </w:pPr>
          </w:p>
          <w:p w:rsidR="00F51223" w:rsidRPr="00B022AB" w:rsidRDefault="00F51223" w:rsidP="00C35B87">
            <w:pPr>
              <w:ind w:left="113"/>
            </w:pPr>
            <w:r w:rsidRPr="00B022AB">
              <w:t>Understand and acknowledge the histories, heritages, languages and cultures of partners to Te Tiriti o Waitangi.</w:t>
            </w:r>
          </w:p>
          <w:p w:rsidR="00F51223" w:rsidRPr="00C35B87" w:rsidRDefault="00F51223" w:rsidP="00C35B87">
            <w:pPr>
              <w:pStyle w:val="ColorfulList-Accent1"/>
              <w:ind w:left="360"/>
              <w:rPr>
                <w:sz w:val="24"/>
                <w:szCs w:val="24"/>
              </w:rPr>
            </w:pPr>
          </w:p>
          <w:p w:rsidR="00F51223" w:rsidRPr="00B022AB" w:rsidRDefault="00F51223" w:rsidP="00C35B87">
            <w:pPr>
              <w:ind w:left="113"/>
            </w:pPr>
            <w:r w:rsidRPr="00B022AB">
              <w:t xml:space="preserve">Practice and develop the use of te reo and tikanga Māori. </w:t>
            </w:r>
          </w:p>
          <w:p w:rsidR="00F51223" w:rsidRPr="00C35B87" w:rsidRDefault="00F51223" w:rsidP="00C35B87">
            <w:pPr>
              <w:pStyle w:val="ColorfulList-Accent1"/>
              <w:ind w:left="360"/>
              <w:rPr>
                <w:rFonts w:eastAsia="Times New Roman"/>
                <w:sz w:val="24"/>
                <w:szCs w:val="24"/>
              </w:rPr>
            </w:pPr>
          </w:p>
          <w:p w:rsidR="00F51223" w:rsidRPr="00C35B87" w:rsidRDefault="00F51223" w:rsidP="00C35B87">
            <w:pPr>
              <w:pStyle w:val="ColorfulList-Accent1"/>
              <w:ind w:left="360"/>
              <w:rPr>
                <w:rFonts w:eastAsia="Times New Roman"/>
                <w:sz w:val="24"/>
                <w:szCs w:val="24"/>
              </w:rPr>
            </w:pPr>
          </w:p>
          <w:p w:rsidR="00F51223" w:rsidRPr="00C35B87" w:rsidRDefault="00F51223" w:rsidP="00C35B87">
            <w:pPr>
              <w:pStyle w:val="ColorfulList-Accent1"/>
              <w:ind w:left="360"/>
              <w:rPr>
                <w:rFonts w:eastAsia="Times New Roman"/>
                <w:sz w:val="24"/>
                <w:szCs w:val="24"/>
              </w:rPr>
            </w:pPr>
          </w:p>
          <w:p w:rsidR="00F51223" w:rsidRPr="00C35B87" w:rsidRDefault="00F51223" w:rsidP="00C35B87">
            <w:pPr>
              <w:pStyle w:val="ColorfulList-Accent1"/>
              <w:ind w:left="360"/>
              <w:rPr>
                <w:rFonts w:eastAsia="Times New Roman"/>
                <w:sz w:val="24"/>
                <w:szCs w:val="24"/>
              </w:rPr>
            </w:pPr>
          </w:p>
          <w:p w:rsidR="00F51223" w:rsidRPr="00C35B87" w:rsidRDefault="00F51223" w:rsidP="00C35B87">
            <w:pPr>
              <w:pStyle w:val="ColorfulList-Accent1"/>
              <w:ind w:left="360"/>
              <w:rPr>
                <w:rFonts w:eastAsia="Times New Roman"/>
                <w:sz w:val="24"/>
                <w:szCs w:val="24"/>
              </w:rPr>
            </w:pPr>
          </w:p>
          <w:p w:rsidR="00F51223" w:rsidRPr="00C35B87" w:rsidRDefault="00F51223" w:rsidP="00C35B87">
            <w:pPr>
              <w:pStyle w:val="ColorfulList-Accent1"/>
              <w:ind w:left="360"/>
              <w:rPr>
                <w:rFonts w:eastAsia="Times New Roman"/>
                <w:sz w:val="24"/>
                <w:szCs w:val="24"/>
              </w:rPr>
            </w:pPr>
          </w:p>
          <w:p w:rsidR="00F51223" w:rsidRPr="00C35B87" w:rsidRDefault="00F51223" w:rsidP="00C35B87">
            <w:pPr>
              <w:pStyle w:val="ColorfulList-Accent1"/>
              <w:ind w:left="360"/>
              <w:rPr>
                <w:rFonts w:eastAsia="Times New Roman"/>
                <w:sz w:val="24"/>
                <w:szCs w:val="24"/>
              </w:rPr>
            </w:pPr>
          </w:p>
          <w:p w:rsidR="00F51223" w:rsidRPr="00C35B87" w:rsidRDefault="00F51223" w:rsidP="00C35B87">
            <w:pPr>
              <w:pStyle w:val="ColorfulList-Accent1"/>
              <w:ind w:left="360"/>
              <w:rPr>
                <w:rFonts w:eastAsia="Times New Roman"/>
                <w:sz w:val="24"/>
                <w:szCs w:val="24"/>
              </w:rPr>
            </w:pPr>
          </w:p>
          <w:p w:rsidR="00F51223" w:rsidRPr="00C35B87" w:rsidRDefault="00F51223" w:rsidP="00C35B87">
            <w:pPr>
              <w:pStyle w:val="ColorfulList-Accent1"/>
              <w:ind w:left="360"/>
              <w:rPr>
                <w:rFonts w:eastAsia="Times New Roman"/>
                <w:sz w:val="24"/>
                <w:szCs w:val="24"/>
              </w:rPr>
            </w:pPr>
          </w:p>
          <w:p w:rsidR="00F51223" w:rsidRPr="00C35B87" w:rsidRDefault="00F51223" w:rsidP="00C35B87">
            <w:pPr>
              <w:pStyle w:val="ColorfulList-Accent1"/>
              <w:ind w:left="360"/>
              <w:rPr>
                <w:rFonts w:eastAsia="Times New Roman"/>
                <w:sz w:val="24"/>
                <w:szCs w:val="24"/>
              </w:rPr>
            </w:pPr>
          </w:p>
          <w:p w:rsidR="00F51223" w:rsidRPr="00C35B87" w:rsidRDefault="00F51223" w:rsidP="00C35B87">
            <w:pPr>
              <w:pStyle w:val="ColorfulList-Accent1"/>
              <w:ind w:left="360"/>
              <w:rPr>
                <w:rFonts w:eastAsia="Times New Roman"/>
                <w:sz w:val="24"/>
                <w:szCs w:val="24"/>
              </w:rPr>
            </w:pPr>
          </w:p>
          <w:p w:rsidR="00F51223" w:rsidRPr="00C35B87" w:rsidRDefault="00F51223" w:rsidP="00C35B87">
            <w:pPr>
              <w:pStyle w:val="ColorfulList-Accent1"/>
              <w:ind w:left="360"/>
              <w:rPr>
                <w:rFonts w:eastAsia="Times New Roman"/>
                <w:sz w:val="24"/>
                <w:szCs w:val="24"/>
              </w:rPr>
            </w:pPr>
          </w:p>
          <w:p w:rsidR="00F51223" w:rsidRPr="00C35B87" w:rsidRDefault="00F51223" w:rsidP="00C35B87">
            <w:pPr>
              <w:pStyle w:val="ColorfulList-Accent1"/>
              <w:ind w:left="360"/>
              <w:rPr>
                <w:rFonts w:eastAsia="Times New Roman"/>
                <w:sz w:val="24"/>
                <w:szCs w:val="24"/>
              </w:rPr>
            </w:pPr>
          </w:p>
          <w:p w:rsidR="00F51223" w:rsidRPr="00C35B87" w:rsidRDefault="00F51223" w:rsidP="00C35B87">
            <w:pPr>
              <w:pStyle w:val="ColorfulList-Accent1"/>
              <w:ind w:left="0"/>
              <w:rPr>
                <w:rFonts w:eastAsia="Times New Roman"/>
                <w:sz w:val="24"/>
                <w:szCs w:val="24"/>
              </w:rPr>
            </w:pPr>
          </w:p>
        </w:tc>
        <w:tc>
          <w:tcPr>
            <w:tcW w:w="7229" w:type="dxa"/>
            <w:shd w:val="clear" w:color="auto" w:fill="auto"/>
          </w:tcPr>
          <w:p w:rsidR="00F51223" w:rsidRDefault="00F51223" w:rsidP="00C35B87"/>
        </w:tc>
        <w:tc>
          <w:tcPr>
            <w:tcW w:w="4775" w:type="dxa"/>
            <w:shd w:val="clear" w:color="auto" w:fill="auto"/>
          </w:tcPr>
          <w:p w:rsidR="00F51223" w:rsidRDefault="00F51223" w:rsidP="00C35B87"/>
        </w:tc>
      </w:tr>
    </w:tbl>
    <w:p w:rsidR="00EF050D" w:rsidRDefault="00EF050D" w:rsidP="00F51223"/>
    <w:p w:rsidR="00F51223" w:rsidRPr="00B022AB" w:rsidRDefault="00F51223" w:rsidP="00F51223">
      <w:pPr>
        <w:rPr>
          <w:sz w:val="32"/>
          <w:szCs w:val="32"/>
        </w:rPr>
      </w:pPr>
      <w:r w:rsidRPr="00B022AB">
        <w:rPr>
          <w:b/>
          <w:sz w:val="32"/>
          <w:szCs w:val="32"/>
        </w:rPr>
        <w:lastRenderedPageBreak/>
        <w:t xml:space="preserve">Quality Practice - </w:t>
      </w:r>
      <w:r w:rsidRPr="00B022AB">
        <w:rPr>
          <w:b/>
          <w:i/>
          <w:sz w:val="32"/>
          <w:szCs w:val="32"/>
        </w:rPr>
        <w:t>Standards for the Teaching Profession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3"/>
        <w:gridCol w:w="5244"/>
        <w:gridCol w:w="7188"/>
        <w:gridCol w:w="4775"/>
      </w:tblGrid>
      <w:tr w:rsidR="00F51223" w:rsidTr="00C35B87">
        <w:tc>
          <w:tcPr>
            <w:tcW w:w="3723" w:type="dxa"/>
            <w:shd w:val="clear" w:color="auto" w:fill="auto"/>
          </w:tcPr>
          <w:p w:rsidR="00F51223" w:rsidRPr="00C35B87" w:rsidRDefault="00F51223" w:rsidP="00C35B87">
            <w:pPr>
              <w:rPr>
                <w:rFonts w:eastAsia="Times New Roman"/>
                <w:b/>
                <w:sz w:val="28"/>
                <w:szCs w:val="28"/>
              </w:rPr>
            </w:pPr>
            <w:r w:rsidRPr="00C35B87">
              <w:rPr>
                <w:rFonts w:eastAsia="Times New Roman"/>
                <w:b/>
                <w:sz w:val="28"/>
                <w:szCs w:val="28"/>
              </w:rPr>
              <w:t>Standard</w:t>
            </w:r>
          </w:p>
        </w:tc>
        <w:tc>
          <w:tcPr>
            <w:tcW w:w="5244" w:type="dxa"/>
            <w:shd w:val="clear" w:color="auto" w:fill="auto"/>
          </w:tcPr>
          <w:p w:rsidR="00F51223" w:rsidRPr="00C35B87" w:rsidRDefault="00F51223" w:rsidP="00C35B87">
            <w:pPr>
              <w:pStyle w:val="ColorfulList-Accent1"/>
              <w:ind w:left="421"/>
              <w:rPr>
                <w:rFonts w:eastAsia="Times New Roman"/>
                <w:b/>
                <w:sz w:val="28"/>
                <w:szCs w:val="28"/>
              </w:rPr>
            </w:pPr>
            <w:r w:rsidRPr="00C35B87">
              <w:rPr>
                <w:rFonts w:eastAsia="Times New Roman"/>
                <w:b/>
                <w:sz w:val="28"/>
                <w:szCs w:val="28"/>
              </w:rPr>
              <w:t>Elaborations of the standard</w:t>
            </w:r>
          </w:p>
        </w:tc>
        <w:tc>
          <w:tcPr>
            <w:tcW w:w="7188" w:type="dxa"/>
            <w:shd w:val="clear" w:color="auto" w:fill="auto"/>
          </w:tcPr>
          <w:p w:rsidR="00F51223" w:rsidRPr="00C35B87" w:rsidRDefault="00F51223" w:rsidP="00C35B87">
            <w:pPr>
              <w:rPr>
                <w:b/>
                <w:sz w:val="28"/>
                <w:szCs w:val="28"/>
              </w:rPr>
            </w:pPr>
            <w:r w:rsidRPr="00C35B87">
              <w:rPr>
                <w:b/>
                <w:sz w:val="28"/>
                <w:szCs w:val="28"/>
              </w:rPr>
              <w:t>What quality practices do you use in your setting that connect with this standard?</w:t>
            </w:r>
          </w:p>
        </w:tc>
        <w:tc>
          <w:tcPr>
            <w:tcW w:w="4775" w:type="dxa"/>
            <w:shd w:val="clear" w:color="auto" w:fill="auto"/>
          </w:tcPr>
          <w:p w:rsidR="00F51223" w:rsidRPr="00C35B87" w:rsidRDefault="00F51223" w:rsidP="00C35B87">
            <w:pPr>
              <w:rPr>
                <w:b/>
                <w:sz w:val="28"/>
                <w:szCs w:val="28"/>
              </w:rPr>
            </w:pPr>
            <w:r w:rsidRPr="00C35B87">
              <w:rPr>
                <w:b/>
                <w:sz w:val="28"/>
                <w:szCs w:val="28"/>
              </w:rPr>
              <w:t>What evidence do you use that demonstrates these quality practices?</w:t>
            </w:r>
          </w:p>
        </w:tc>
      </w:tr>
      <w:tr w:rsidR="00F51223" w:rsidTr="00C35B87">
        <w:tc>
          <w:tcPr>
            <w:tcW w:w="3723" w:type="dxa"/>
            <w:shd w:val="clear" w:color="auto" w:fill="auto"/>
          </w:tcPr>
          <w:p w:rsidR="00F51223" w:rsidRPr="00C35B87" w:rsidRDefault="00F51223" w:rsidP="00C35B87">
            <w:pPr>
              <w:rPr>
                <w:rFonts w:eastAsia="Times New Roman"/>
                <w:b/>
              </w:rPr>
            </w:pPr>
          </w:p>
          <w:p w:rsidR="00F51223" w:rsidRPr="00C35B87" w:rsidRDefault="00F51223" w:rsidP="00C35B87">
            <w:pPr>
              <w:rPr>
                <w:rFonts w:eastAsia="Times New Roman"/>
                <w:b/>
              </w:rPr>
            </w:pPr>
            <w:r w:rsidRPr="00C35B87">
              <w:rPr>
                <w:rFonts w:eastAsia="Times New Roman"/>
                <w:b/>
              </w:rPr>
              <w:t>Professional Learning</w:t>
            </w:r>
          </w:p>
          <w:p w:rsidR="00F51223" w:rsidRPr="00B022AB" w:rsidRDefault="00F51223" w:rsidP="00C35B87">
            <w:r w:rsidRPr="00C35B87">
              <w:rPr>
                <w:rFonts w:eastAsia="Times New Roman"/>
              </w:rPr>
              <w:t>Use inquiry, collaborative problem-solving and professional learning to improve professional capability to impact on the learning and achievement of all leaners.</w:t>
            </w:r>
          </w:p>
        </w:tc>
        <w:tc>
          <w:tcPr>
            <w:tcW w:w="5244" w:type="dxa"/>
            <w:shd w:val="clear" w:color="auto" w:fill="auto"/>
          </w:tcPr>
          <w:p w:rsidR="00F51223" w:rsidRDefault="00F51223" w:rsidP="00C35B87">
            <w:pPr>
              <w:ind w:left="113"/>
            </w:pPr>
          </w:p>
          <w:p w:rsidR="00F51223" w:rsidRPr="00B022AB" w:rsidRDefault="00F51223" w:rsidP="00C35B87">
            <w:pPr>
              <w:ind w:left="113"/>
            </w:pPr>
            <w:r w:rsidRPr="00B022AB">
              <w:t>Inquire into and reflect on the effectiveness of practice in an ongoing way, using evidence from a range of sources.</w:t>
            </w:r>
          </w:p>
          <w:p w:rsidR="00F51223" w:rsidRPr="00C35B87" w:rsidRDefault="00F51223" w:rsidP="00C35B87">
            <w:pPr>
              <w:pStyle w:val="ColorfulList-Accent1"/>
              <w:ind w:left="360"/>
              <w:rPr>
                <w:sz w:val="24"/>
                <w:szCs w:val="24"/>
              </w:rPr>
            </w:pPr>
          </w:p>
          <w:p w:rsidR="00F51223" w:rsidRPr="00B022AB" w:rsidRDefault="00F51223" w:rsidP="00C35B87">
            <w:pPr>
              <w:ind w:left="113"/>
            </w:pPr>
            <w:r w:rsidRPr="00B022AB">
              <w:t xml:space="preserve">Critically examine how my own assumptions and beliefs, including cultural beliefs, impact on practice and the achievement of learners with different abilities and needs, backgrounds, genders, identities, languages and cultures. </w:t>
            </w:r>
          </w:p>
          <w:p w:rsidR="00F51223" w:rsidRPr="00B022AB" w:rsidRDefault="00F51223" w:rsidP="00C35B87"/>
          <w:p w:rsidR="00F51223" w:rsidRPr="00B022AB" w:rsidRDefault="00F51223" w:rsidP="00C35B87">
            <w:pPr>
              <w:ind w:left="113"/>
            </w:pPr>
            <w:r w:rsidRPr="00B022AB">
              <w:t>Engage in professional learning and adaptively apply this learning in practice.</w:t>
            </w:r>
          </w:p>
          <w:p w:rsidR="00F51223" w:rsidRPr="00B022AB" w:rsidRDefault="00F51223" w:rsidP="00C35B87"/>
          <w:p w:rsidR="00F51223" w:rsidRPr="00B022AB" w:rsidRDefault="00F51223" w:rsidP="00C35B87">
            <w:pPr>
              <w:ind w:left="113"/>
            </w:pPr>
            <w:r w:rsidRPr="00B022AB">
              <w:t>Be informed by research and innovations related to: content disciplines; pedagogy; teaching for diverse learners including learners with disabilities and learning support needs; and wider education matters.</w:t>
            </w:r>
          </w:p>
          <w:p w:rsidR="00F51223" w:rsidRPr="00B022AB" w:rsidRDefault="00F51223" w:rsidP="00C35B87"/>
          <w:p w:rsidR="00F51223" w:rsidRDefault="00F51223" w:rsidP="00C35B87">
            <w:pPr>
              <w:ind w:left="113"/>
            </w:pPr>
            <w:r w:rsidRPr="00B022AB">
              <w:t>Seek and respond to feedback from learners, colleagues and other education professionals, and engage in collaborative problem-solving and learning-focused collegial discussions.</w:t>
            </w:r>
          </w:p>
          <w:p w:rsidR="00F51223" w:rsidRDefault="00F51223" w:rsidP="00C35B87">
            <w:pPr>
              <w:ind w:left="113"/>
            </w:pPr>
          </w:p>
          <w:p w:rsidR="00F51223" w:rsidRDefault="00F51223" w:rsidP="00C35B87">
            <w:pPr>
              <w:ind w:left="113"/>
            </w:pPr>
          </w:p>
          <w:p w:rsidR="00F51223" w:rsidRDefault="00F51223" w:rsidP="00C35B87">
            <w:pPr>
              <w:ind w:left="113"/>
            </w:pPr>
          </w:p>
          <w:p w:rsidR="00F51223" w:rsidRDefault="00F51223" w:rsidP="00C35B87">
            <w:pPr>
              <w:ind w:left="113"/>
            </w:pPr>
          </w:p>
          <w:p w:rsidR="00F51223" w:rsidRPr="00B022AB" w:rsidRDefault="00F51223" w:rsidP="00C35B87">
            <w:pPr>
              <w:ind w:left="113"/>
            </w:pPr>
          </w:p>
          <w:p w:rsidR="00F51223" w:rsidRPr="00C35B87" w:rsidRDefault="00F51223" w:rsidP="00C35B87">
            <w:pPr>
              <w:pStyle w:val="ColorfulList-Accent1"/>
              <w:ind w:left="0"/>
              <w:rPr>
                <w:rFonts w:eastAsia="Times New Roman"/>
                <w:sz w:val="24"/>
                <w:szCs w:val="24"/>
              </w:rPr>
            </w:pPr>
          </w:p>
        </w:tc>
        <w:tc>
          <w:tcPr>
            <w:tcW w:w="7188" w:type="dxa"/>
            <w:shd w:val="clear" w:color="auto" w:fill="auto"/>
          </w:tcPr>
          <w:p w:rsidR="00F51223" w:rsidRDefault="00F51223" w:rsidP="00C35B87"/>
        </w:tc>
        <w:tc>
          <w:tcPr>
            <w:tcW w:w="4775" w:type="dxa"/>
            <w:shd w:val="clear" w:color="auto" w:fill="auto"/>
          </w:tcPr>
          <w:p w:rsidR="00F51223" w:rsidRDefault="00F51223" w:rsidP="00C35B87"/>
        </w:tc>
      </w:tr>
    </w:tbl>
    <w:p w:rsidR="00F51223" w:rsidRPr="00B022AB" w:rsidRDefault="00F51223" w:rsidP="00F51223">
      <w:pPr>
        <w:rPr>
          <w:sz w:val="32"/>
          <w:szCs w:val="32"/>
        </w:rPr>
      </w:pPr>
      <w:r w:rsidRPr="00B022AB">
        <w:rPr>
          <w:b/>
          <w:sz w:val="32"/>
          <w:szCs w:val="32"/>
        </w:rPr>
        <w:lastRenderedPageBreak/>
        <w:t xml:space="preserve">Quality Practice - </w:t>
      </w:r>
      <w:r w:rsidRPr="00B022AB">
        <w:rPr>
          <w:b/>
          <w:i/>
          <w:sz w:val="32"/>
          <w:szCs w:val="32"/>
        </w:rPr>
        <w:t>Standards for the Teaching Profession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3"/>
        <w:gridCol w:w="5244"/>
        <w:gridCol w:w="7188"/>
        <w:gridCol w:w="4775"/>
      </w:tblGrid>
      <w:tr w:rsidR="00F51223" w:rsidTr="00C35B87">
        <w:tc>
          <w:tcPr>
            <w:tcW w:w="3723" w:type="dxa"/>
            <w:shd w:val="clear" w:color="auto" w:fill="auto"/>
          </w:tcPr>
          <w:p w:rsidR="00F51223" w:rsidRPr="00C35B87" w:rsidRDefault="00F51223" w:rsidP="00C35B87">
            <w:pPr>
              <w:rPr>
                <w:rFonts w:eastAsia="Times New Roman"/>
                <w:b/>
                <w:sz w:val="28"/>
                <w:szCs w:val="28"/>
              </w:rPr>
            </w:pPr>
            <w:r w:rsidRPr="00C35B87">
              <w:rPr>
                <w:rFonts w:eastAsia="Times New Roman"/>
                <w:b/>
                <w:sz w:val="28"/>
                <w:szCs w:val="28"/>
              </w:rPr>
              <w:t>Standard</w:t>
            </w:r>
          </w:p>
        </w:tc>
        <w:tc>
          <w:tcPr>
            <w:tcW w:w="5244" w:type="dxa"/>
            <w:shd w:val="clear" w:color="auto" w:fill="auto"/>
          </w:tcPr>
          <w:p w:rsidR="00F51223" w:rsidRPr="00C35B87" w:rsidRDefault="00F51223" w:rsidP="00C35B87">
            <w:pPr>
              <w:pStyle w:val="ColorfulList-Accent1"/>
              <w:ind w:left="421"/>
              <w:rPr>
                <w:rFonts w:eastAsia="Times New Roman"/>
                <w:b/>
                <w:sz w:val="28"/>
                <w:szCs w:val="28"/>
              </w:rPr>
            </w:pPr>
            <w:r w:rsidRPr="00C35B87">
              <w:rPr>
                <w:rFonts w:eastAsia="Times New Roman"/>
                <w:b/>
                <w:sz w:val="28"/>
                <w:szCs w:val="28"/>
              </w:rPr>
              <w:t>Elaborations of the standard</w:t>
            </w:r>
          </w:p>
        </w:tc>
        <w:tc>
          <w:tcPr>
            <w:tcW w:w="7188" w:type="dxa"/>
            <w:shd w:val="clear" w:color="auto" w:fill="auto"/>
          </w:tcPr>
          <w:p w:rsidR="00F51223" w:rsidRPr="00C35B87" w:rsidRDefault="00F51223" w:rsidP="00C35B87">
            <w:pPr>
              <w:rPr>
                <w:b/>
                <w:sz w:val="28"/>
                <w:szCs w:val="28"/>
              </w:rPr>
            </w:pPr>
            <w:r w:rsidRPr="00C35B87">
              <w:rPr>
                <w:b/>
                <w:sz w:val="28"/>
                <w:szCs w:val="28"/>
              </w:rPr>
              <w:t>What quality practices do you use in your setting that connect with this standard?</w:t>
            </w:r>
          </w:p>
        </w:tc>
        <w:tc>
          <w:tcPr>
            <w:tcW w:w="4775" w:type="dxa"/>
            <w:shd w:val="clear" w:color="auto" w:fill="auto"/>
          </w:tcPr>
          <w:p w:rsidR="00F51223" w:rsidRPr="00C35B87" w:rsidRDefault="00F51223" w:rsidP="00C35B87">
            <w:pPr>
              <w:rPr>
                <w:b/>
                <w:sz w:val="28"/>
                <w:szCs w:val="28"/>
              </w:rPr>
            </w:pPr>
            <w:r w:rsidRPr="00C35B87">
              <w:rPr>
                <w:b/>
                <w:sz w:val="28"/>
                <w:szCs w:val="28"/>
              </w:rPr>
              <w:t>What evidence do you use that demonstrates these quality practices?</w:t>
            </w:r>
          </w:p>
        </w:tc>
      </w:tr>
      <w:tr w:rsidR="00F51223" w:rsidTr="00C35B87">
        <w:tc>
          <w:tcPr>
            <w:tcW w:w="3723" w:type="dxa"/>
            <w:shd w:val="clear" w:color="auto" w:fill="auto"/>
          </w:tcPr>
          <w:p w:rsidR="00F51223" w:rsidRPr="00C35B87" w:rsidRDefault="00F51223" w:rsidP="00C35B87">
            <w:pPr>
              <w:rPr>
                <w:b/>
              </w:rPr>
            </w:pPr>
          </w:p>
          <w:p w:rsidR="00F51223" w:rsidRPr="00C35B87" w:rsidRDefault="00F51223" w:rsidP="00C35B87">
            <w:pPr>
              <w:rPr>
                <w:b/>
              </w:rPr>
            </w:pPr>
            <w:r w:rsidRPr="00C35B87">
              <w:rPr>
                <w:b/>
              </w:rPr>
              <w:t>Professional relationships</w:t>
            </w:r>
          </w:p>
          <w:p w:rsidR="00F51223" w:rsidRPr="00B022AB" w:rsidRDefault="00F51223" w:rsidP="00C35B87">
            <w:r w:rsidRPr="00B022AB">
              <w:t>Establish and maintain professional relationships and behaviours focused on the learning and well-being of each learner.</w:t>
            </w:r>
          </w:p>
          <w:p w:rsidR="00F51223" w:rsidRPr="00B022AB" w:rsidRDefault="00F51223" w:rsidP="00C35B87"/>
          <w:p w:rsidR="00F51223" w:rsidRPr="00B022AB" w:rsidRDefault="00F51223" w:rsidP="00C35B87"/>
        </w:tc>
        <w:tc>
          <w:tcPr>
            <w:tcW w:w="5244" w:type="dxa"/>
            <w:shd w:val="clear" w:color="auto" w:fill="auto"/>
          </w:tcPr>
          <w:p w:rsidR="00F51223" w:rsidRDefault="00F51223" w:rsidP="00C35B87">
            <w:pPr>
              <w:ind w:left="113"/>
            </w:pPr>
          </w:p>
          <w:p w:rsidR="00F51223" w:rsidRPr="00B022AB" w:rsidRDefault="00F51223" w:rsidP="00C35B87">
            <w:pPr>
              <w:ind w:left="113"/>
            </w:pPr>
            <w:r w:rsidRPr="00B022AB">
              <w:t>Engage in reciprocal, collaborative learning-focused relationships with:</w:t>
            </w:r>
          </w:p>
          <w:p w:rsidR="00F51223" w:rsidRPr="00C35B87" w:rsidRDefault="00F51223" w:rsidP="00C35B87">
            <w:pPr>
              <w:pStyle w:val="ColorfulList-Accent1"/>
              <w:numPr>
                <w:ilvl w:val="0"/>
                <w:numId w:val="5"/>
              </w:numPr>
              <w:rPr>
                <w:sz w:val="24"/>
                <w:szCs w:val="24"/>
              </w:rPr>
            </w:pPr>
            <w:r w:rsidRPr="00C35B87">
              <w:rPr>
                <w:sz w:val="24"/>
                <w:szCs w:val="24"/>
              </w:rPr>
              <w:t>learners’, family and whānau</w:t>
            </w:r>
          </w:p>
          <w:p w:rsidR="00F51223" w:rsidRPr="00C35B87" w:rsidRDefault="00F51223" w:rsidP="00C35B87">
            <w:pPr>
              <w:pStyle w:val="ColorfulList-Accent1"/>
              <w:numPr>
                <w:ilvl w:val="0"/>
                <w:numId w:val="5"/>
              </w:numPr>
              <w:rPr>
                <w:sz w:val="24"/>
                <w:szCs w:val="24"/>
              </w:rPr>
            </w:pPr>
            <w:r w:rsidRPr="00C35B87">
              <w:rPr>
                <w:sz w:val="24"/>
                <w:szCs w:val="24"/>
              </w:rPr>
              <w:t>teaching colleagues, support staff and other professionals</w:t>
            </w:r>
          </w:p>
          <w:p w:rsidR="00F51223" w:rsidRPr="00C35B87" w:rsidRDefault="00F51223" w:rsidP="00C35B87">
            <w:pPr>
              <w:pStyle w:val="ColorfulList-Accent1"/>
              <w:numPr>
                <w:ilvl w:val="0"/>
                <w:numId w:val="5"/>
              </w:numPr>
              <w:rPr>
                <w:sz w:val="24"/>
                <w:szCs w:val="24"/>
              </w:rPr>
            </w:pPr>
            <w:r w:rsidRPr="00C35B87">
              <w:rPr>
                <w:sz w:val="24"/>
                <w:szCs w:val="24"/>
              </w:rPr>
              <w:t>agencies, groups and individuals in the community.</w:t>
            </w:r>
          </w:p>
          <w:p w:rsidR="00F51223" w:rsidRPr="00B022AB" w:rsidRDefault="00F51223" w:rsidP="00C35B87"/>
          <w:p w:rsidR="00F51223" w:rsidRPr="00B022AB" w:rsidRDefault="00F51223" w:rsidP="00C35B87">
            <w:pPr>
              <w:ind w:left="113"/>
            </w:pPr>
            <w:r w:rsidRPr="00B022AB">
              <w:t>Communicate effectively with others.</w:t>
            </w:r>
          </w:p>
          <w:p w:rsidR="00F51223" w:rsidRPr="00B022AB" w:rsidRDefault="00F51223" w:rsidP="00C35B87"/>
          <w:p w:rsidR="00F51223" w:rsidRPr="00B022AB" w:rsidRDefault="00F51223" w:rsidP="00C35B87">
            <w:pPr>
              <w:ind w:left="113"/>
            </w:pPr>
            <w:r w:rsidRPr="00B022AB">
              <w:t xml:space="preserve">Actively contribute, and work collegially, in the pursuit of improving my own and organisational practice, showing leadership, particularly in areas of responsibility. </w:t>
            </w:r>
          </w:p>
          <w:p w:rsidR="00F51223" w:rsidRPr="00C35B87" w:rsidRDefault="00F51223" w:rsidP="00C35B87">
            <w:pPr>
              <w:pStyle w:val="ColorfulList-Accent1"/>
              <w:ind w:left="360"/>
              <w:rPr>
                <w:sz w:val="24"/>
                <w:szCs w:val="24"/>
              </w:rPr>
            </w:pPr>
          </w:p>
          <w:p w:rsidR="00F51223" w:rsidRPr="00B022AB" w:rsidRDefault="00F51223" w:rsidP="00C35B87">
            <w:pPr>
              <w:ind w:left="113"/>
            </w:pPr>
            <w:r w:rsidRPr="00B022AB">
              <w:t xml:space="preserve">Communicate clear and accurate assessment for learning and achievement information. </w:t>
            </w:r>
          </w:p>
          <w:p w:rsidR="00F51223" w:rsidRPr="00C35B87" w:rsidRDefault="00F51223" w:rsidP="00C35B87">
            <w:pPr>
              <w:pStyle w:val="ColorfulList-Accent1"/>
              <w:ind w:left="360"/>
              <w:rPr>
                <w:rFonts w:eastAsia="Times New Roman"/>
                <w:sz w:val="24"/>
                <w:szCs w:val="24"/>
              </w:rPr>
            </w:pPr>
          </w:p>
          <w:p w:rsidR="00F51223" w:rsidRPr="00C35B87" w:rsidRDefault="00F51223" w:rsidP="00C35B87">
            <w:pPr>
              <w:pStyle w:val="ColorfulList-Accent1"/>
              <w:ind w:left="360"/>
              <w:rPr>
                <w:rFonts w:eastAsia="Times New Roman"/>
                <w:sz w:val="24"/>
                <w:szCs w:val="24"/>
              </w:rPr>
            </w:pPr>
          </w:p>
          <w:p w:rsidR="00F51223" w:rsidRPr="00C35B87" w:rsidRDefault="00F51223" w:rsidP="00C35B87">
            <w:pPr>
              <w:pStyle w:val="ColorfulList-Accent1"/>
              <w:ind w:left="360"/>
              <w:rPr>
                <w:rFonts w:eastAsia="Times New Roman"/>
                <w:sz w:val="24"/>
                <w:szCs w:val="24"/>
              </w:rPr>
            </w:pPr>
          </w:p>
          <w:p w:rsidR="00F51223" w:rsidRPr="00C35B87" w:rsidRDefault="00F51223" w:rsidP="00C35B87">
            <w:pPr>
              <w:pStyle w:val="ColorfulList-Accent1"/>
              <w:ind w:left="360"/>
              <w:rPr>
                <w:rFonts w:eastAsia="Times New Roman"/>
                <w:sz w:val="24"/>
                <w:szCs w:val="24"/>
              </w:rPr>
            </w:pPr>
          </w:p>
          <w:p w:rsidR="00F51223" w:rsidRPr="00C35B87" w:rsidRDefault="00F51223" w:rsidP="00C35B87">
            <w:pPr>
              <w:pStyle w:val="ColorfulList-Accent1"/>
              <w:ind w:left="360"/>
              <w:rPr>
                <w:rFonts w:eastAsia="Times New Roman"/>
                <w:sz w:val="24"/>
                <w:szCs w:val="24"/>
              </w:rPr>
            </w:pPr>
          </w:p>
          <w:p w:rsidR="00F51223" w:rsidRPr="00C35B87" w:rsidRDefault="00F51223" w:rsidP="00C35B87">
            <w:pPr>
              <w:pStyle w:val="ColorfulList-Accent1"/>
              <w:ind w:left="360"/>
              <w:rPr>
                <w:rFonts w:eastAsia="Times New Roman"/>
                <w:sz w:val="24"/>
                <w:szCs w:val="24"/>
              </w:rPr>
            </w:pPr>
          </w:p>
          <w:p w:rsidR="00F51223" w:rsidRPr="00C35B87" w:rsidRDefault="00F51223" w:rsidP="00C35B87">
            <w:pPr>
              <w:pStyle w:val="ColorfulList-Accent1"/>
              <w:ind w:left="360"/>
              <w:rPr>
                <w:rFonts w:eastAsia="Times New Roman"/>
                <w:sz w:val="24"/>
                <w:szCs w:val="24"/>
              </w:rPr>
            </w:pPr>
          </w:p>
          <w:p w:rsidR="00F51223" w:rsidRPr="00C35B87" w:rsidRDefault="00F51223" w:rsidP="00C35B87">
            <w:pPr>
              <w:pStyle w:val="ColorfulList-Accent1"/>
              <w:ind w:left="0"/>
              <w:rPr>
                <w:rFonts w:eastAsia="Times New Roman"/>
                <w:sz w:val="24"/>
                <w:szCs w:val="24"/>
              </w:rPr>
            </w:pPr>
          </w:p>
        </w:tc>
        <w:tc>
          <w:tcPr>
            <w:tcW w:w="7188" w:type="dxa"/>
            <w:shd w:val="clear" w:color="auto" w:fill="auto"/>
          </w:tcPr>
          <w:p w:rsidR="00F51223" w:rsidRDefault="00F51223" w:rsidP="00C35B87"/>
        </w:tc>
        <w:tc>
          <w:tcPr>
            <w:tcW w:w="4775" w:type="dxa"/>
            <w:shd w:val="clear" w:color="auto" w:fill="auto"/>
          </w:tcPr>
          <w:p w:rsidR="00F51223" w:rsidRDefault="00F51223" w:rsidP="00C35B87"/>
        </w:tc>
      </w:tr>
    </w:tbl>
    <w:p w:rsidR="00F51223" w:rsidRPr="00B022AB" w:rsidRDefault="00F51223" w:rsidP="00F51223">
      <w:pPr>
        <w:rPr>
          <w:sz w:val="32"/>
          <w:szCs w:val="32"/>
        </w:rPr>
      </w:pPr>
      <w:r w:rsidRPr="00B022AB">
        <w:rPr>
          <w:b/>
          <w:sz w:val="32"/>
          <w:szCs w:val="32"/>
        </w:rPr>
        <w:lastRenderedPageBreak/>
        <w:t xml:space="preserve">Quality Practice - </w:t>
      </w:r>
      <w:r w:rsidRPr="00B022AB">
        <w:rPr>
          <w:b/>
          <w:i/>
          <w:sz w:val="32"/>
          <w:szCs w:val="32"/>
        </w:rPr>
        <w:t>Standards for the Teaching Profession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3"/>
        <w:gridCol w:w="5244"/>
        <w:gridCol w:w="7188"/>
        <w:gridCol w:w="4775"/>
      </w:tblGrid>
      <w:tr w:rsidR="00F51223" w:rsidRPr="00B022AB" w:rsidTr="00C35B87">
        <w:tc>
          <w:tcPr>
            <w:tcW w:w="3723" w:type="dxa"/>
            <w:shd w:val="clear" w:color="auto" w:fill="auto"/>
          </w:tcPr>
          <w:p w:rsidR="00F51223" w:rsidRPr="00C35B87" w:rsidRDefault="00F51223" w:rsidP="00C35B87">
            <w:pPr>
              <w:rPr>
                <w:rFonts w:eastAsia="Times New Roman"/>
                <w:b/>
                <w:sz w:val="28"/>
                <w:szCs w:val="28"/>
              </w:rPr>
            </w:pPr>
            <w:r w:rsidRPr="00C35B87">
              <w:rPr>
                <w:rFonts w:eastAsia="Times New Roman"/>
                <w:b/>
                <w:sz w:val="28"/>
                <w:szCs w:val="28"/>
              </w:rPr>
              <w:t>Standard</w:t>
            </w:r>
          </w:p>
        </w:tc>
        <w:tc>
          <w:tcPr>
            <w:tcW w:w="5244" w:type="dxa"/>
            <w:shd w:val="clear" w:color="auto" w:fill="auto"/>
          </w:tcPr>
          <w:p w:rsidR="00F51223" w:rsidRPr="00C35B87" w:rsidRDefault="00F51223" w:rsidP="00C35B87">
            <w:pPr>
              <w:pStyle w:val="ColorfulList-Accent1"/>
              <w:ind w:left="421"/>
              <w:rPr>
                <w:rFonts w:eastAsia="Times New Roman"/>
                <w:b/>
                <w:sz w:val="28"/>
                <w:szCs w:val="28"/>
              </w:rPr>
            </w:pPr>
            <w:r w:rsidRPr="00C35B87">
              <w:rPr>
                <w:rFonts w:eastAsia="Times New Roman"/>
                <w:b/>
                <w:sz w:val="28"/>
                <w:szCs w:val="28"/>
              </w:rPr>
              <w:t>Elaborations of the standard</w:t>
            </w:r>
          </w:p>
        </w:tc>
        <w:tc>
          <w:tcPr>
            <w:tcW w:w="7188" w:type="dxa"/>
            <w:shd w:val="clear" w:color="auto" w:fill="auto"/>
          </w:tcPr>
          <w:p w:rsidR="00F51223" w:rsidRPr="00C35B87" w:rsidRDefault="00F51223" w:rsidP="00C35B87">
            <w:pPr>
              <w:rPr>
                <w:b/>
                <w:sz w:val="28"/>
                <w:szCs w:val="28"/>
              </w:rPr>
            </w:pPr>
            <w:r w:rsidRPr="00C35B87">
              <w:rPr>
                <w:b/>
                <w:sz w:val="28"/>
                <w:szCs w:val="28"/>
              </w:rPr>
              <w:t>What quality practices do you use in your setting that connect with this standard?</w:t>
            </w:r>
          </w:p>
        </w:tc>
        <w:tc>
          <w:tcPr>
            <w:tcW w:w="4775" w:type="dxa"/>
            <w:shd w:val="clear" w:color="auto" w:fill="auto"/>
          </w:tcPr>
          <w:p w:rsidR="00F51223" w:rsidRPr="00C35B87" w:rsidRDefault="00F51223" w:rsidP="00C35B87">
            <w:pPr>
              <w:rPr>
                <w:b/>
                <w:sz w:val="28"/>
                <w:szCs w:val="28"/>
              </w:rPr>
            </w:pPr>
            <w:r w:rsidRPr="00C35B87">
              <w:rPr>
                <w:b/>
                <w:sz w:val="28"/>
                <w:szCs w:val="28"/>
              </w:rPr>
              <w:t>What evidence do you use that demonstrates these quality practices?</w:t>
            </w:r>
          </w:p>
        </w:tc>
      </w:tr>
      <w:tr w:rsidR="00F51223" w:rsidTr="00C35B87">
        <w:tc>
          <w:tcPr>
            <w:tcW w:w="3723" w:type="dxa"/>
            <w:shd w:val="clear" w:color="auto" w:fill="auto"/>
          </w:tcPr>
          <w:p w:rsidR="00F51223" w:rsidRPr="00C35B87" w:rsidRDefault="00F51223" w:rsidP="00C35B87">
            <w:pPr>
              <w:rPr>
                <w:b/>
              </w:rPr>
            </w:pPr>
          </w:p>
          <w:p w:rsidR="00F51223" w:rsidRPr="00C35B87" w:rsidRDefault="00F51223" w:rsidP="00C35B87">
            <w:pPr>
              <w:rPr>
                <w:b/>
              </w:rPr>
            </w:pPr>
            <w:r w:rsidRPr="00C35B87">
              <w:rPr>
                <w:b/>
              </w:rPr>
              <w:t>Learning-focused culture</w:t>
            </w:r>
          </w:p>
          <w:p w:rsidR="00F51223" w:rsidRPr="00B022AB" w:rsidRDefault="00F51223" w:rsidP="00C35B87">
            <w:r w:rsidRPr="00B022AB">
              <w:t>Develop a culture which is focused on learning, and is characterised by respect, inclusion, empathy, collaboration and safety.</w:t>
            </w:r>
          </w:p>
          <w:p w:rsidR="00F51223" w:rsidRPr="00C35B87" w:rsidRDefault="00F51223" w:rsidP="00C35B87">
            <w:pPr>
              <w:rPr>
                <w:b/>
              </w:rPr>
            </w:pPr>
          </w:p>
          <w:p w:rsidR="00F51223" w:rsidRPr="00B022AB" w:rsidRDefault="00F51223" w:rsidP="00C35B87"/>
        </w:tc>
        <w:tc>
          <w:tcPr>
            <w:tcW w:w="5244" w:type="dxa"/>
            <w:shd w:val="clear" w:color="auto" w:fill="auto"/>
          </w:tcPr>
          <w:p w:rsidR="00F51223" w:rsidRDefault="00F51223" w:rsidP="00C35B87">
            <w:pPr>
              <w:ind w:left="113"/>
            </w:pPr>
          </w:p>
          <w:p w:rsidR="00F51223" w:rsidRPr="00B022AB" w:rsidRDefault="00F51223" w:rsidP="00C35B87">
            <w:pPr>
              <w:ind w:left="113"/>
            </w:pPr>
            <w:r w:rsidRPr="00B022AB">
              <w:t>Develop learning-focused relationships with learners, enabling them to be active participants in the process of learning, sharing ownership and responsibility for learning.</w:t>
            </w:r>
          </w:p>
          <w:p w:rsidR="00F51223" w:rsidRPr="00C35B87" w:rsidRDefault="00F51223" w:rsidP="00C35B87">
            <w:pPr>
              <w:pStyle w:val="ColorfulList-Accent1"/>
              <w:ind w:left="360"/>
              <w:rPr>
                <w:sz w:val="24"/>
                <w:szCs w:val="24"/>
              </w:rPr>
            </w:pPr>
          </w:p>
          <w:p w:rsidR="00F51223" w:rsidRPr="00B022AB" w:rsidRDefault="003A260E" w:rsidP="00C35B87">
            <w:pPr>
              <w:ind w:left="113"/>
            </w:pPr>
            <w:r>
              <w:rPr>
                <w:noProof/>
                <w:lang w:eastAsia="en-NZ"/>
              </w:rPr>
              <w:drawing>
                <wp:anchor distT="0" distB="0" distL="114300" distR="114300" simplePos="0" relativeHeight="251657216" behindDoc="0" locked="0" layoutInCell="1" allowOverlap="1">
                  <wp:simplePos x="0" y="0"/>
                  <wp:positionH relativeFrom="column">
                    <wp:posOffset>2919095</wp:posOffset>
                  </wp:positionH>
                  <wp:positionV relativeFrom="paragraph">
                    <wp:posOffset>-546100</wp:posOffset>
                  </wp:positionV>
                  <wp:extent cx="25400" cy="25400"/>
                  <wp:effectExtent l="0" t="0" r="0" b="0"/>
                  <wp:wrapNone/>
                  <wp:docPr id="3" name="Ink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166"/>
                          <pic:cNvPicPr>
                            <a:picLocks noChangeAspect="1" noChangeArrowheads="1"/>
                          </pic:cNvPicPr>
                        </pic:nvPicPr>
                        <pic:blipFill>
                          <a:blip r:embed="rId9"/>
                          <a:srcRect/>
                          <a:stretch>
                            <a:fillRect/>
                          </a:stretch>
                        </pic:blipFill>
                        <pic:spPr bwMode="auto">
                          <a:xfrm>
                            <a:off x="0" y="0"/>
                            <a:ext cx="25400" cy="25400"/>
                          </a:xfrm>
                          <a:prstGeom prst="rect">
                            <a:avLst/>
                          </a:prstGeom>
                          <a:noFill/>
                          <a:ln w="9525">
                            <a:noFill/>
                            <a:miter lim="800000"/>
                            <a:headEnd/>
                            <a:tailEnd/>
                          </a:ln>
                        </pic:spPr>
                      </pic:pic>
                    </a:graphicData>
                  </a:graphic>
                </wp:anchor>
              </w:drawing>
            </w:r>
            <w:r w:rsidR="00F51223" w:rsidRPr="00B022AB">
              <w:t xml:space="preserve">Foster trust, respect and cooperation with and among learners so that they experience an environment in which it is safe to take risks. </w:t>
            </w:r>
            <w:r>
              <w:rPr>
                <w:noProof/>
                <w:lang w:eastAsia="en-NZ"/>
              </w:rPr>
              <w:drawing>
                <wp:anchor distT="0" distB="0" distL="114300" distR="114300" simplePos="0" relativeHeight="251658240" behindDoc="0" locked="0" layoutInCell="1" allowOverlap="1">
                  <wp:simplePos x="0" y="0"/>
                  <wp:positionH relativeFrom="column">
                    <wp:posOffset>3404235</wp:posOffset>
                  </wp:positionH>
                  <wp:positionV relativeFrom="paragraph">
                    <wp:posOffset>-263525</wp:posOffset>
                  </wp:positionV>
                  <wp:extent cx="25400" cy="14605"/>
                  <wp:effectExtent l="0" t="0" r="0" b="0"/>
                  <wp:wrapNone/>
                  <wp:docPr id="2" name="Ink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180"/>
                          <pic:cNvPicPr>
                            <a:picLocks noChangeAspect="1" noChangeArrowheads="1"/>
                          </pic:cNvPicPr>
                        </pic:nvPicPr>
                        <pic:blipFill>
                          <a:blip r:embed="rId9"/>
                          <a:srcRect/>
                          <a:stretch>
                            <a:fillRect/>
                          </a:stretch>
                        </pic:blipFill>
                        <pic:spPr bwMode="auto">
                          <a:xfrm>
                            <a:off x="0" y="0"/>
                            <a:ext cx="25400" cy="14605"/>
                          </a:xfrm>
                          <a:prstGeom prst="rect">
                            <a:avLst/>
                          </a:prstGeom>
                          <a:noFill/>
                          <a:ln w="9525">
                            <a:noFill/>
                            <a:miter lim="800000"/>
                            <a:headEnd/>
                            <a:tailEnd/>
                          </a:ln>
                        </pic:spPr>
                      </pic:pic>
                    </a:graphicData>
                  </a:graphic>
                </wp:anchor>
              </w:drawing>
            </w:r>
          </w:p>
          <w:p w:rsidR="00F51223" w:rsidRPr="00C35B87" w:rsidRDefault="00F51223" w:rsidP="00C35B87">
            <w:pPr>
              <w:pStyle w:val="ColorfulList-Accent1"/>
              <w:ind w:left="360"/>
              <w:rPr>
                <w:sz w:val="24"/>
                <w:szCs w:val="24"/>
              </w:rPr>
            </w:pPr>
          </w:p>
          <w:p w:rsidR="00F51223" w:rsidRPr="00B022AB" w:rsidRDefault="00F51223" w:rsidP="00C35B87">
            <w:pPr>
              <w:ind w:left="113"/>
            </w:pPr>
            <w:r w:rsidRPr="00B022AB">
              <w:t>Demonstrate high expectations for the learning outcomes of all learners, including for those learners with disabilities or learning support needs.</w:t>
            </w:r>
          </w:p>
          <w:p w:rsidR="00F51223" w:rsidRPr="00B022AB" w:rsidRDefault="00F51223" w:rsidP="00C35B87">
            <w:pPr>
              <w:ind w:left="113"/>
            </w:pPr>
          </w:p>
          <w:p w:rsidR="00F51223" w:rsidRPr="00B022AB" w:rsidRDefault="00F51223" w:rsidP="00C35B87">
            <w:pPr>
              <w:ind w:left="113"/>
            </w:pPr>
            <w:r w:rsidRPr="00B022AB">
              <w:t xml:space="preserve">Manage the learning setting to ensure access to learning for all and to maximise learners’ physical, social, cultural and emotional safety. </w:t>
            </w:r>
          </w:p>
          <w:p w:rsidR="00F51223" w:rsidRPr="00B022AB" w:rsidRDefault="00F51223" w:rsidP="00C35B87">
            <w:pPr>
              <w:ind w:left="113"/>
            </w:pPr>
          </w:p>
          <w:p w:rsidR="00F51223" w:rsidRPr="00B022AB" w:rsidRDefault="00F51223" w:rsidP="00C35B87">
            <w:pPr>
              <w:ind w:left="113"/>
            </w:pPr>
            <w:r w:rsidRPr="00B022AB">
              <w:t>Create an environment where learners can be confident in their identities, languages, cultures and abilities.</w:t>
            </w:r>
          </w:p>
          <w:p w:rsidR="00F51223" w:rsidRPr="00C35B87" w:rsidRDefault="00F51223" w:rsidP="00C35B87">
            <w:pPr>
              <w:pStyle w:val="ColorfulList-Accent1"/>
              <w:ind w:left="360"/>
              <w:rPr>
                <w:sz w:val="24"/>
                <w:szCs w:val="24"/>
              </w:rPr>
            </w:pPr>
          </w:p>
          <w:p w:rsidR="00F51223" w:rsidRPr="00B022AB" w:rsidRDefault="00F51223" w:rsidP="00C35B87">
            <w:pPr>
              <w:ind w:left="113"/>
            </w:pPr>
            <w:r w:rsidRPr="00B022AB">
              <w:t>Develop an environment where the diversity and uniqueness of all learners is accepted and valued.</w:t>
            </w:r>
          </w:p>
          <w:p w:rsidR="00F51223" w:rsidRPr="00B022AB" w:rsidRDefault="00F51223" w:rsidP="00C35B87">
            <w:pPr>
              <w:ind w:left="113"/>
            </w:pPr>
          </w:p>
          <w:p w:rsidR="00F51223" w:rsidRPr="00B022AB" w:rsidRDefault="00F51223" w:rsidP="00C35B87">
            <w:pPr>
              <w:ind w:left="113"/>
            </w:pPr>
            <w:r w:rsidRPr="00B022AB">
              <w:t>Meet relevant regulatory, statutory and professional requirements.</w:t>
            </w:r>
          </w:p>
          <w:p w:rsidR="00F51223" w:rsidRPr="00C35B87" w:rsidRDefault="00F51223" w:rsidP="00C35B87">
            <w:pPr>
              <w:pStyle w:val="ColorfulList-Accent1"/>
              <w:ind w:left="360"/>
              <w:rPr>
                <w:rFonts w:eastAsia="Times New Roman"/>
                <w:sz w:val="24"/>
                <w:szCs w:val="24"/>
              </w:rPr>
            </w:pPr>
          </w:p>
          <w:p w:rsidR="00F51223" w:rsidRPr="00C35B87" w:rsidRDefault="00F51223" w:rsidP="00C35B87">
            <w:pPr>
              <w:rPr>
                <w:rFonts w:eastAsia="Times New Roman"/>
              </w:rPr>
            </w:pPr>
          </w:p>
        </w:tc>
        <w:tc>
          <w:tcPr>
            <w:tcW w:w="7188" w:type="dxa"/>
            <w:shd w:val="clear" w:color="auto" w:fill="auto"/>
          </w:tcPr>
          <w:p w:rsidR="00F51223" w:rsidRDefault="00F51223" w:rsidP="00C35B87"/>
        </w:tc>
        <w:tc>
          <w:tcPr>
            <w:tcW w:w="4775" w:type="dxa"/>
            <w:shd w:val="clear" w:color="auto" w:fill="auto"/>
          </w:tcPr>
          <w:p w:rsidR="00F51223" w:rsidRDefault="00F51223" w:rsidP="00C35B87"/>
        </w:tc>
      </w:tr>
    </w:tbl>
    <w:p w:rsidR="00F51223" w:rsidRPr="00B022AB" w:rsidRDefault="00F51223" w:rsidP="00F51223">
      <w:pPr>
        <w:rPr>
          <w:sz w:val="32"/>
          <w:szCs w:val="32"/>
        </w:rPr>
      </w:pPr>
      <w:r w:rsidRPr="00B022AB">
        <w:rPr>
          <w:b/>
          <w:sz w:val="32"/>
          <w:szCs w:val="32"/>
        </w:rPr>
        <w:lastRenderedPageBreak/>
        <w:t xml:space="preserve">Quality Practice - </w:t>
      </w:r>
      <w:r w:rsidRPr="00B022AB">
        <w:rPr>
          <w:b/>
          <w:i/>
          <w:sz w:val="32"/>
          <w:szCs w:val="32"/>
        </w:rPr>
        <w:t>Standards for the Teaching Profession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3"/>
        <w:gridCol w:w="5203"/>
        <w:gridCol w:w="7229"/>
        <w:gridCol w:w="4775"/>
      </w:tblGrid>
      <w:tr w:rsidR="00F51223" w:rsidTr="00C35B87">
        <w:tc>
          <w:tcPr>
            <w:tcW w:w="3723" w:type="dxa"/>
            <w:shd w:val="clear" w:color="auto" w:fill="auto"/>
          </w:tcPr>
          <w:p w:rsidR="00F51223" w:rsidRPr="00C35B87" w:rsidRDefault="00F51223" w:rsidP="00C35B87">
            <w:pPr>
              <w:rPr>
                <w:rFonts w:eastAsia="Times New Roman"/>
                <w:b/>
                <w:sz w:val="28"/>
                <w:szCs w:val="28"/>
              </w:rPr>
            </w:pPr>
            <w:r w:rsidRPr="00C35B87">
              <w:rPr>
                <w:rFonts w:eastAsia="Times New Roman"/>
                <w:b/>
                <w:sz w:val="28"/>
                <w:szCs w:val="28"/>
              </w:rPr>
              <w:t>Standard</w:t>
            </w:r>
          </w:p>
        </w:tc>
        <w:tc>
          <w:tcPr>
            <w:tcW w:w="5203" w:type="dxa"/>
            <w:shd w:val="clear" w:color="auto" w:fill="auto"/>
          </w:tcPr>
          <w:p w:rsidR="00F51223" w:rsidRPr="00C35B87" w:rsidRDefault="00F51223" w:rsidP="00C35B87">
            <w:pPr>
              <w:pStyle w:val="ColorfulList-Accent1"/>
              <w:ind w:left="421"/>
              <w:rPr>
                <w:rFonts w:eastAsia="Times New Roman"/>
                <w:b/>
                <w:sz w:val="28"/>
                <w:szCs w:val="28"/>
              </w:rPr>
            </w:pPr>
            <w:r w:rsidRPr="00C35B87">
              <w:rPr>
                <w:rFonts w:eastAsia="Times New Roman"/>
                <w:b/>
                <w:sz w:val="28"/>
                <w:szCs w:val="28"/>
              </w:rPr>
              <w:t>Elaborations of the standard</w:t>
            </w:r>
          </w:p>
        </w:tc>
        <w:tc>
          <w:tcPr>
            <w:tcW w:w="7229" w:type="dxa"/>
            <w:shd w:val="clear" w:color="auto" w:fill="auto"/>
          </w:tcPr>
          <w:p w:rsidR="00F51223" w:rsidRPr="00C35B87" w:rsidRDefault="00F51223" w:rsidP="00C35B87">
            <w:pPr>
              <w:rPr>
                <w:b/>
                <w:sz w:val="28"/>
                <w:szCs w:val="28"/>
              </w:rPr>
            </w:pPr>
            <w:r w:rsidRPr="00C35B87">
              <w:rPr>
                <w:b/>
                <w:sz w:val="28"/>
                <w:szCs w:val="28"/>
              </w:rPr>
              <w:t>What quality practices do you use in your setting that connect with this standard?</w:t>
            </w:r>
          </w:p>
        </w:tc>
        <w:tc>
          <w:tcPr>
            <w:tcW w:w="4775" w:type="dxa"/>
            <w:shd w:val="clear" w:color="auto" w:fill="auto"/>
          </w:tcPr>
          <w:p w:rsidR="00F51223" w:rsidRPr="00C35B87" w:rsidRDefault="00F51223" w:rsidP="00C35B87">
            <w:pPr>
              <w:rPr>
                <w:b/>
                <w:sz w:val="28"/>
                <w:szCs w:val="28"/>
              </w:rPr>
            </w:pPr>
            <w:r w:rsidRPr="00C35B87">
              <w:rPr>
                <w:b/>
                <w:sz w:val="28"/>
                <w:szCs w:val="28"/>
              </w:rPr>
              <w:t>What evidence do you use that demonstrates these quality practices?</w:t>
            </w:r>
          </w:p>
        </w:tc>
      </w:tr>
      <w:tr w:rsidR="00F51223" w:rsidTr="00C35B87">
        <w:tc>
          <w:tcPr>
            <w:tcW w:w="3723" w:type="dxa"/>
            <w:shd w:val="clear" w:color="auto" w:fill="auto"/>
          </w:tcPr>
          <w:p w:rsidR="00F51223" w:rsidRPr="00C35B87" w:rsidRDefault="00F51223" w:rsidP="00C35B87">
            <w:pPr>
              <w:rPr>
                <w:b/>
              </w:rPr>
            </w:pPr>
            <w:r w:rsidRPr="00C35B87">
              <w:rPr>
                <w:b/>
              </w:rPr>
              <w:t>Design for learning</w:t>
            </w:r>
          </w:p>
          <w:p w:rsidR="00F51223" w:rsidRPr="00C35B87" w:rsidRDefault="00F51223" w:rsidP="00C35B87">
            <w:pPr>
              <w:rPr>
                <w:b/>
              </w:rPr>
            </w:pPr>
          </w:p>
          <w:p w:rsidR="00F51223" w:rsidRPr="00B022AB" w:rsidRDefault="00F51223" w:rsidP="00C35B87">
            <w:r w:rsidRPr="00B022AB">
              <w:t>Design learning based on curriculum and pedagogical knowledge, assessment information and an understanding of each learner’s stren</w:t>
            </w:r>
            <w:r>
              <w:t>gths, interests, needs, identities</w:t>
            </w:r>
            <w:r w:rsidRPr="00B022AB">
              <w:t>, language</w:t>
            </w:r>
            <w:r>
              <w:t>s</w:t>
            </w:r>
            <w:r w:rsidRPr="00B022AB">
              <w:t xml:space="preserve"> and cultures.</w:t>
            </w:r>
          </w:p>
          <w:p w:rsidR="00F51223" w:rsidRPr="00B022AB" w:rsidRDefault="00F51223" w:rsidP="00C35B87"/>
          <w:p w:rsidR="00F51223" w:rsidRPr="00B022AB" w:rsidRDefault="00F51223" w:rsidP="00C35B87"/>
          <w:p w:rsidR="00F51223" w:rsidRPr="00B022AB" w:rsidRDefault="00F51223" w:rsidP="00C35B87"/>
        </w:tc>
        <w:tc>
          <w:tcPr>
            <w:tcW w:w="5203" w:type="dxa"/>
            <w:shd w:val="clear" w:color="auto" w:fill="auto"/>
          </w:tcPr>
          <w:p w:rsidR="00F51223" w:rsidRDefault="00F51223" w:rsidP="00C35B87">
            <w:pPr>
              <w:ind w:left="113"/>
            </w:pPr>
          </w:p>
          <w:p w:rsidR="00F51223" w:rsidRPr="00B022AB" w:rsidRDefault="00F51223" w:rsidP="00C35B87">
            <w:pPr>
              <w:ind w:left="113"/>
            </w:pPr>
            <w:r w:rsidRPr="00B022AB">
              <w:t>Select teaching approaches, resources, and learning and assessment activities based on a thorough knowledge of curriculum content, pedagogy, progressions in learning and the learners.</w:t>
            </w:r>
          </w:p>
          <w:p w:rsidR="00F51223" w:rsidRPr="00C35B87" w:rsidRDefault="00F51223" w:rsidP="00C35B87">
            <w:pPr>
              <w:pStyle w:val="ColorfulList-Accent1"/>
              <w:ind w:left="360"/>
              <w:rPr>
                <w:sz w:val="24"/>
                <w:szCs w:val="24"/>
              </w:rPr>
            </w:pPr>
          </w:p>
          <w:p w:rsidR="00F51223" w:rsidRPr="00B022AB" w:rsidRDefault="00F51223" w:rsidP="00C35B87">
            <w:pPr>
              <w:ind w:left="113"/>
            </w:pPr>
            <w:r w:rsidRPr="00B022AB">
              <w:t>Gather, analyse and use appropriate assessment information, identifying progress and needs of learners to design clear next steps in learning and to identify additional supports or adaptations that may be required.</w:t>
            </w:r>
          </w:p>
          <w:p w:rsidR="00F51223" w:rsidRPr="00C35B87" w:rsidRDefault="00F51223" w:rsidP="00C35B87">
            <w:pPr>
              <w:pStyle w:val="ColorfulList-Accent1"/>
              <w:ind w:left="360"/>
              <w:rPr>
                <w:sz w:val="24"/>
                <w:szCs w:val="24"/>
              </w:rPr>
            </w:pPr>
          </w:p>
          <w:p w:rsidR="00F51223" w:rsidRPr="00B022AB" w:rsidRDefault="00F51223" w:rsidP="00C35B87">
            <w:pPr>
              <w:ind w:left="113"/>
            </w:pPr>
            <w:r>
              <w:t xml:space="preserve">Design and plan culturally </w:t>
            </w:r>
            <w:r w:rsidRPr="00B022AB">
              <w:t>responsive, evidence-based approaches which reflect the local community and Te Tiriti o Waitangi partnership in New Zealand.</w:t>
            </w:r>
          </w:p>
          <w:p w:rsidR="00F51223" w:rsidRPr="00C35B87" w:rsidRDefault="00F51223" w:rsidP="00C35B87">
            <w:pPr>
              <w:pStyle w:val="ColorfulList-Accent1"/>
              <w:ind w:left="360"/>
              <w:rPr>
                <w:sz w:val="24"/>
                <w:szCs w:val="24"/>
              </w:rPr>
            </w:pPr>
          </w:p>
          <w:p w:rsidR="00F51223" w:rsidRPr="00B022AB" w:rsidRDefault="00F51223" w:rsidP="00C35B87">
            <w:pPr>
              <w:ind w:left="113"/>
            </w:pPr>
            <w:r w:rsidRPr="00B022AB">
              <w:t>Harness the rich capital that learners bring by providing culturally responsive and engaging contexts for learners.</w:t>
            </w:r>
          </w:p>
          <w:p w:rsidR="00F51223" w:rsidRPr="00C35B87" w:rsidRDefault="00F51223" w:rsidP="00C35B87">
            <w:pPr>
              <w:pStyle w:val="ColorfulList-Accent1"/>
              <w:rPr>
                <w:sz w:val="24"/>
                <w:szCs w:val="24"/>
              </w:rPr>
            </w:pPr>
          </w:p>
          <w:p w:rsidR="00F51223" w:rsidRPr="00B022AB" w:rsidRDefault="00F51223" w:rsidP="00C35B87">
            <w:pPr>
              <w:ind w:left="113"/>
            </w:pPr>
            <w:r w:rsidRPr="00B022AB">
              <w:t>Informed by national policies and priorities.</w:t>
            </w:r>
          </w:p>
          <w:p w:rsidR="00F51223" w:rsidRPr="00C35B87" w:rsidRDefault="00F51223" w:rsidP="00C35B87">
            <w:pPr>
              <w:pStyle w:val="ColorfulList-Accent1"/>
              <w:ind w:left="360"/>
              <w:rPr>
                <w:rFonts w:eastAsia="Times New Roman"/>
                <w:sz w:val="24"/>
                <w:szCs w:val="24"/>
              </w:rPr>
            </w:pPr>
          </w:p>
          <w:p w:rsidR="00F51223" w:rsidRPr="00C35B87" w:rsidRDefault="00F51223" w:rsidP="00C35B87">
            <w:pPr>
              <w:pStyle w:val="ColorfulList-Accent1"/>
              <w:ind w:left="360"/>
              <w:rPr>
                <w:rFonts w:eastAsia="Times New Roman"/>
                <w:sz w:val="24"/>
                <w:szCs w:val="24"/>
              </w:rPr>
            </w:pPr>
          </w:p>
          <w:p w:rsidR="00F51223" w:rsidRPr="00C35B87" w:rsidRDefault="00F51223" w:rsidP="00C35B87">
            <w:pPr>
              <w:pStyle w:val="ColorfulList-Accent1"/>
              <w:ind w:left="360"/>
              <w:rPr>
                <w:rFonts w:eastAsia="Times New Roman"/>
                <w:sz w:val="24"/>
                <w:szCs w:val="24"/>
              </w:rPr>
            </w:pPr>
          </w:p>
          <w:p w:rsidR="00F51223" w:rsidRPr="00C35B87" w:rsidRDefault="00F51223" w:rsidP="00C35B87">
            <w:pPr>
              <w:pStyle w:val="ColorfulList-Accent1"/>
              <w:ind w:left="360"/>
              <w:rPr>
                <w:rFonts w:eastAsia="Times New Roman"/>
                <w:sz w:val="24"/>
                <w:szCs w:val="24"/>
              </w:rPr>
            </w:pPr>
          </w:p>
          <w:p w:rsidR="00F51223" w:rsidRPr="00C35B87" w:rsidRDefault="00F51223" w:rsidP="00C35B87">
            <w:pPr>
              <w:pStyle w:val="ColorfulList-Accent1"/>
              <w:ind w:left="360"/>
              <w:rPr>
                <w:rFonts w:eastAsia="Times New Roman"/>
                <w:sz w:val="24"/>
                <w:szCs w:val="24"/>
              </w:rPr>
            </w:pPr>
          </w:p>
          <w:p w:rsidR="00F51223" w:rsidRPr="00C35B87" w:rsidRDefault="00F51223" w:rsidP="00C35B87">
            <w:pPr>
              <w:pStyle w:val="ColorfulList-Accent1"/>
              <w:ind w:left="0"/>
              <w:rPr>
                <w:rFonts w:eastAsia="Times New Roman"/>
                <w:sz w:val="24"/>
                <w:szCs w:val="24"/>
              </w:rPr>
            </w:pPr>
          </w:p>
        </w:tc>
        <w:tc>
          <w:tcPr>
            <w:tcW w:w="7229" w:type="dxa"/>
            <w:shd w:val="clear" w:color="auto" w:fill="auto"/>
          </w:tcPr>
          <w:p w:rsidR="00F51223" w:rsidRDefault="00F51223" w:rsidP="00C35B87"/>
        </w:tc>
        <w:tc>
          <w:tcPr>
            <w:tcW w:w="4775" w:type="dxa"/>
            <w:shd w:val="clear" w:color="auto" w:fill="auto"/>
          </w:tcPr>
          <w:p w:rsidR="00F51223" w:rsidRDefault="00F51223" w:rsidP="00C35B87"/>
        </w:tc>
      </w:tr>
    </w:tbl>
    <w:p w:rsidR="00F51223" w:rsidRDefault="00F51223" w:rsidP="00F51223"/>
    <w:p w:rsidR="00F51223" w:rsidRPr="00245B3C" w:rsidRDefault="00F51223" w:rsidP="00F51223">
      <w:pPr>
        <w:rPr>
          <w:sz w:val="32"/>
          <w:szCs w:val="32"/>
        </w:rPr>
      </w:pPr>
      <w:r w:rsidRPr="00245B3C">
        <w:rPr>
          <w:b/>
          <w:sz w:val="32"/>
          <w:szCs w:val="32"/>
        </w:rPr>
        <w:lastRenderedPageBreak/>
        <w:t xml:space="preserve">Quality Practice - </w:t>
      </w:r>
      <w:r w:rsidRPr="00245B3C">
        <w:rPr>
          <w:b/>
          <w:i/>
          <w:sz w:val="32"/>
          <w:szCs w:val="32"/>
        </w:rPr>
        <w:t>Standards for the Teaching Profession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3"/>
        <w:gridCol w:w="4777"/>
        <w:gridCol w:w="7197"/>
        <w:gridCol w:w="5233"/>
      </w:tblGrid>
      <w:tr w:rsidR="00F51223" w:rsidTr="00C35B87">
        <w:tc>
          <w:tcPr>
            <w:tcW w:w="3723" w:type="dxa"/>
            <w:shd w:val="clear" w:color="auto" w:fill="auto"/>
          </w:tcPr>
          <w:p w:rsidR="00F51223" w:rsidRPr="00C35B87" w:rsidRDefault="00F51223" w:rsidP="00C35B87">
            <w:pPr>
              <w:rPr>
                <w:rFonts w:eastAsia="Times New Roman"/>
                <w:b/>
                <w:sz w:val="28"/>
                <w:szCs w:val="28"/>
              </w:rPr>
            </w:pPr>
            <w:r w:rsidRPr="00C35B87">
              <w:rPr>
                <w:rFonts w:eastAsia="Times New Roman"/>
                <w:b/>
                <w:sz w:val="28"/>
                <w:szCs w:val="28"/>
              </w:rPr>
              <w:t>Standard</w:t>
            </w:r>
          </w:p>
        </w:tc>
        <w:tc>
          <w:tcPr>
            <w:tcW w:w="4777" w:type="dxa"/>
            <w:shd w:val="clear" w:color="auto" w:fill="auto"/>
          </w:tcPr>
          <w:p w:rsidR="00F51223" w:rsidRPr="00C35B87" w:rsidRDefault="00F51223" w:rsidP="00C35B87">
            <w:pPr>
              <w:pStyle w:val="ColorfulList-Accent1"/>
              <w:ind w:left="421"/>
              <w:rPr>
                <w:rFonts w:eastAsia="Times New Roman"/>
                <w:b/>
                <w:sz w:val="28"/>
                <w:szCs w:val="28"/>
              </w:rPr>
            </w:pPr>
            <w:r w:rsidRPr="00C35B87">
              <w:rPr>
                <w:rFonts w:eastAsia="Times New Roman"/>
                <w:b/>
                <w:sz w:val="28"/>
                <w:szCs w:val="28"/>
              </w:rPr>
              <w:t>Elaborations of the standard</w:t>
            </w:r>
          </w:p>
        </w:tc>
        <w:tc>
          <w:tcPr>
            <w:tcW w:w="7197" w:type="dxa"/>
            <w:shd w:val="clear" w:color="auto" w:fill="auto"/>
          </w:tcPr>
          <w:p w:rsidR="00F51223" w:rsidRPr="00C35B87" w:rsidRDefault="00F51223" w:rsidP="00C35B87">
            <w:pPr>
              <w:rPr>
                <w:b/>
                <w:sz w:val="28"/>
                <w:szCs w:val="28"/>
              </w:rPr>
            </w:pPr>
            <w:r w:rsidRPr="00C35B87">
              <w:rPr>
                <w:b/>
                <w:sz w:val="28"/>
                <w:szCs w:val="28"/>
              </w:rPr>
              <w:t>What quality practices do you use in your setting that connect with this standard?</w:t>
            </w:r>
          </w:p>
        </w:tc>
        <w:tc>
          <w:tcPr>
            <w:tcW w:w="5233" w:type="dxa"/>
            <w:shd w:val="clear" w:color="auto" w:fill="auto"/>
          </w:tcPr>
          <w:p w:rsidR="00F51223" w:rsidRPr="00C35B87" w:rsidRDefault="00F51223" w:rsidP="00C35B87">
            <w:pPr>
              <w:rPr>
                <w:b/>
                <w:sz w:val="28"/>
                <w:szCs w:val="28"/>
              </w:rPr>
            </w:pPr>
            <w:r w:rsidRPr="00C35B87">
              <w:rPr>
                <w:b/>
                <w:sz w:val="28"/>
                <w:szCs w:val="28"/>
              </w:rPr>
              <w:t>What evidence do you use that demonstrates these quality practices?</w:t>
            </w:r>
          </w:p>
        </w:tc>
      </w:tr>
      <w:tr w:rsidR="00F51223" w:rsidTr="00C35B87">
        <w:tc>
          <w:tcPr>
            <w:tcW w:w="3723" w:type="dxa"/>
            <w:shd w:val="clear" w:color="auto" w:fill="auto"/>
          </w:tcPr>
          <w:p w:rsidR="00F51223" w:rsidRPr="00C35B87" w:rsidRDefault="00F51223" w:rsidP="00C35B87">
            <w:pPr>
              <w:rPr>
                <w:rFonts w:eastAsia="Times New Roman"/>
                <w:b/>
              </w:rPr>
            </w:pPr>
            <w:r w:rsidRPr="00C35B87">
              <w:rPr>
                <w:rFonts w:eastAsia="Times New Roman"/>
                <w:b/>
              </w:rPr>
              <w:t>Teaching</w:t>
            </w:r>
          </w:p>
          <w:p w:rsidR="00F51223" w:rsidRPr="00C35B87" w:rsidRDefault="00F51223" w:rsidP="00C35B87">
            <w:pPr>
              <w:rPr>
                <w:rFonts w:eastAsia="Times New Roman"/>
                <w:b/>
              </w:rPr>
            </w:pPr>
          </w:p>
          <w:p w:rsidR="00F51223" w:rsidRPr="00245B3C" w:rsidRDefault="00F51223" w:rsidP="00C35B87">
            <w:r w:rsidRPr="00C35B87">
              <w:rPr>
                <w:rFonts w:eastAsia="Times New Roman"/>
              </w:rPr>
              <w:t xml:space="preserve">Teach and respond to learners in a knowledgeable and adaptive way to progress their learning at an appropriate depth and pace. </w:t>
            </w:r>
          </w:p>
        </w:tc>
        <w:tc>
          <w:tcPr>
            <w:tcW w:w="4777" w:type="dxa"/>
            <w:shd w:val="clear" w:color="auto" w:fill="auto"/>
          </w:tcPr>
          <w:p w:rsidR="00F51223" w:rsidRPr="00245B3C" w:rsidRDefault="00F51223" w:rsidP="00C35B87">
            <w:pPr>
              <w:ind w:left="113"/>
            </w:pPr>
            <w:r w:rsidRPr="00245B3C">
              <w:t>Teach in ways that ensure all learners are making sufficient progress, monitor the extent and pace of learning, focusing on equity and excellence for all.</w:t>
            </w:r>
          </w:p>
          <w:p w:rsidR="00F51223" w:rsidRPr="00245B3C" w:rsidRDefault="00F51223" w:rsidP="00C35B87"/>
          <w:p w:rsidR="00F51223" w:rsidRPr="00245B3C" w:rsidRDefault="00F51223" w:rsidP="00C35B87">
            <w:pPr>
              <w:ind w:left="113"/>
            </w:pPr>
            <w:r w:rsidRPr="00245B3C">
              <w:t>Specifically support the educational aspirations for Māori learners, taking shared responsibility for these learners to achieve educational success as Māori.</w:t>
            </w:r>
          </w:p>
          <w:p w:rsidR="00F51223" w:rsidRPr="00245B3C" w:rsidRDefault="00F51223" w:rsidP="00C35B87"/>
          <w:p w:rsidR="00F51223" w:rsidRPr="00245B3C" w:rsidRDefault="00F51223" w:rsidP="00C35B87">
            <w:pPr>
              <w:ind w:left="113"/>
            </w:pPr>
            <w:r w:rsidRPr="00245B3C">
              <w:t>Use an increasing repertoire of teaching strategies, approaches, learning activities, technologies and assessment for learning strategies and modify these in response to the needs of individuals and groups of learners.</w:t>
            </w:r>
          </w:p>
          <w:p w:rsidR="00F51223" w:rsidRPr="00C35B87" w:rsidRDefault="00F51223" w:rsidP="00C35B87">
            <w:pPr>
              <w:pStyle w:val="ColorfulList-Accent1"/>
              <w:rPr>
                <w:sz w:val="24"/>
                <w:szCs w:val="24"/>
              </w:rPr>
            </w:pPr>
          </w:p>
          <w:p w:rsidR="00F51223" w:rsidRPr="00245B3C" w:rsidRDefault="00F51223" w:rsidP="00C35B87">
            <w:pPr>
              <w:ind w:left="113"/>
            </w:pPr>
            <w:r w:rsidRPr="00245B3C">
              <w:t>Provide opportunities and support for learners to engage with, practise and apply learning to different contexts and make connections with prior learning.</w:t>
            </w:r>
          </w:p>
          <w:p w:rsidR="00F51223" w:rsidRPr="00C35B87" w:rsidRDefault="00F51223" w:rsidP="00C35B87">
            <w:pPr>
              <w:pStyle w:val="ColorfulList-Accent1"/>
              <w:rPr>
                <w:sz w:val="24"/>
                <w:szCs w:val="24"/>
              </w:rPr>
            </w:pPr>
          </w:p>
          <w:p w:rsidR="00F51223" w:rsidRPr="00245B3C" w:rsidRDefault="00F51223" w:rsidP="00C35B87">
            <w:pPr>
              <w:ind w:left="113"/>
            </w:pPr>
            <w:r w:rsidRPr="00245B3C">
              <w:t>Teach in ways which enable learners to learn from one another, to collaborate, to self-regulate, and to develop agency over their learning.</w:t>
            </w:r>
          </w:p>
          <w:p w:rsidR="00F51223" w:rsidRPr="00245B3C" w:rsidRDefault="00F51223" w:rsidP="00C35B87"/>
          <w:p w:rsidR="00F51223" w:rsidRPr="00245B3C" w:rsidRDefault="00F51223" w:rsidP="00C35B87">
            <w:pPr>
              <w:ind w:left="113"/>
            </w:pPr>
            <w:r w:rsidRPr="00245B3C">
              <w:t>Ensure learners receive ongoing feedback and assessment information and support them to use this information to guide further learning.</w:t>
            </w:r>
          </w:p>
          <w:p w:rsidR="00F51223" w:rsidRPr="00C35B87" w:rsidRDefault="00F51223" w:rsidP="00C35B87">
            <w:pPr>
              <w:pStyle w:val="ColorfulList-Accent1"/>
              <w:ind w:left="360"/>
              <w:rPr>
                <w:rFonts w:eastAsia="Times New Roman"/>
                <w:sz w:val="24"/>
                <w:szCs w:val="24"/>
              </w:rPr>
            </w:pPr>
          </w:p>
          <w:p w:rsidR="00F51223" w:rsidRPr="00C35B87" w:rsidRDefault="00F51223" w:rsidP="00C35B87">
            <w:pPr>
              <w:pStyle w:val="ColorfulList-Accent1"/>
              <w:ind w:left="0"/>
              <w:rPr>
                <w:rFonts w:eastAsia="Times New Roman"/>
                <w:sz w:val="24"/>
                <w:szCs w:val="24"/>
              </w:rPr>
            </w:pPr>
          </w:p>
        </w:tc>
        <w:tc>
          <w:tcPr>
            <w:tcW w:w="7197" w:type="dxa"/>
            <w:shd w:val="clear" w:color="auto" w:fill="auto"/>
          </w:tcPr>
          <w:p w:rsidR="00F51223" w:rsidRDefault="00F51223" w:rsidP="00C35B87"/>
        </w:tc>
        <w:tc>
          <w:tcPr>
            <w:tcW w:w="5233" w:type="dxa"/>
            <w:shd w:val="clear" w:color="auto" w:fill="auto"/>
          </w:tcPr>
          <w:p w:rsidR="00F51223" w:rsidRDefault="00F51223" w:rsidP="00C35B87"/>
          <w:p w:rsidR="00F51223" w:rsidRDefault="00F51223" w:rsidP="00C35B87"/>
          <w:p w:rsidR="00F51223" w:rsidRDefault="00F51223" w:rsidP="00C35B87"/>
          <w:p w:rsidR="00F51223" w:rsidRDefault="00F51223" w:rsidP="00C35B87"/>
          <w:p w:rsidR="00F51223" w:rsidRDefault="00F51223" w:rsidP="00C35B87"/>
          <w:p w:rsidR="00F51223" w:rsidRDefault="00F51223" w:rsidP="00C35B87"/>
          <w:p w:rsidR="00F51223" w:rsidRDefault="00F51223" w:rsidP="00C35B87"/>
          <w:p w:rsidR="00F51223" w:rsidRDefault="00F51223" w:rsidP="00C35B87"/>
          <w:p w:rsidR="00F51223" w:rsidRDefault="00F51223" w:rsidP="00C35B87"/>
          <w:p w:rsidR="00F51223" w:rsidRDefault="00F51223" w:rsidP="00C35B87"/>
          <w:p w:rsidR="00F51223" w:rsidRDefault="00F51223" w:rsidP="00C35B87"/>
          <w:p w:rsidR="00F51223" w:rsidRDefault="00F51223" w:rsidP="00C35B87"/>
          <w:p w:rsidR="00F51223" w:rsidRDefault="00F51223" w:rsidP="00C35B87"/>
          <w:p w:rsidR="00F51223" w:rsidRDefault="00F51223" w:rsidP="00C35B87"/>
          <w:p w:rsidR="00F51223" w:rsidRDefault="00F51223" w:rsidP="00C35B87"/>
          <w:p w:rsidR="00F51223" w:rsidRDefault="00F51223" w:rsidP="00C35B87"/>
          <w:p w:rsidR="00F51223" w:rsidRDefault="00F51223" w:rsidP="00C35B87"/>
          <w:p w:rsidR="00F51223" w:rsidRDefault="00F51223" w:rsidP="00C35B87"/>
          <w:p w:rsidR="00F51223" w:rsidRDefault="00F51223" w:rsidP="00C35B87"/>
          <w:p w:rsidR="00F51223" w:rsidRDefault="00F51223" w:rsidP="00C35B87"/>
          <w:p w:rsidR="00F51223" w:rsidRDefault="00F51223" w:rsidP="00C35B87"/>
          <w:p w:rsidR="00F51223" w:rsidRDefault="00F51223" w:rsidP="00C35B87"/>
          <w:p w:rsidR="00F51223" w:rsidRDefault="00F51223" w:rsidP="00C35B87"/>
          <w:p w:rsidR="00F51223" w:rsidRDefault="00F51223" w:rsidP="00C35B87"/>
        </w:tc>
      </w:tr>
    </w:tbl>
    <w:p w:rsidR="00792AB5" w:rsidRPr="00792AB5" w:rsidRDefault="00792AB5" w:rsidP="00792AB5">
      <w:pPr>
        <w:spacing w:after="0"/>
        <w:rPr>
          <w:i/>
          <w:sz w:val="20"/>
          <w:szCs w:val="20"/>
        </w:rPr>
      </w:pPr>
    </w:p>
    <w:sectPr w:rsidR="00792AB5" w:rsidRPr="00792AB5" w:rsidSect="00C35B87">
      <w:pgSz w:w="23820" w:h="16840" w:orient="landscape" w:code="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0BB" w:rsidRDefault="009310BB" w:rsidP="008B1C57">
      <w:pPr>
        <w:spacing w:after="0" w:line="240" w:lineRule="auto"/>
      </w:pPr>
      <w:r>
        <w:separator/>
      </w:r>
    </w:p>
  </w:endnote>
  <w:endnote w:type="continuationSeparator" w:id="0">
    <w:p w:rsidR="009310BB" w:rsidRDefault="009310BB" w:rsidP="008B1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0BB" w:rsidRDefault="009310BB" w:rsidP="008B1C57">
      <w:pPr>
        <w:spacing w:after="0" w:line="240" w:lineRule="auto"/>
      </w:pPr>
      <w:r>
        <w:separator/>
      </w:r>
    </w:p>
  </w:footnote>
  <w:footnote w:type="continuationSeparator" w:id="0">
    <w:p w:rsidR="009310BB" w:rsidRDefault="009310BB" w:rsidP="008B1C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0E6BF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AD2551"/>
    <w:multiLevelType w:val="hybridMultilevel"/>
    <w:tmpl w:val="8E98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E554E5"/>
    <w:multiLevelType w:val="hybridMultilevel"/>
    <w:tmpl w:val="23025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52B77F6C"/>
    <w:multiLevelType w:val="hybridMultilevel"/>
    <w:tmpl w:val="2870DC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59BF3849"/>
    <w:multiLevelType w:val="hybridMultilevel"/>
    <w:tmpl w:val="1A50D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E6833"/>
    <w:rsid w:val="000B57FC"/>
    <w:rsid w:val="000C02A3"/>
    <w:rsid w:val="000C60CD"/>
    <w:rsid w:val="000D527F"/>
    <w:rsid w:val="000E0451"/>
    <w:rsid w:val="000E6833"/>
    <w:rsid w:val="00107AF4"/>
    <w:rsid w:val="00122E51"/>
    <w:rsid w:val="001250FF"/>
    <w:rsid w:val="00175F94"/>
    <w:rsid w:val="00245964"/>
    <w:rsid w:val="0025191C"/>
    <w:rsid w:val="00291BB6"/>
    <w:rsid w:val="00314BF7"/>
    <w:rsid w:val="00327EF3"/>
    <w:rsid w:val="00377CEC"/>
    <w:rsid w:val="0038377D"/>
    <w:rsid w:val="003A260E"/>
    <w:rsid w:val="003D2D2E"/>
    <w:rsid w:val="004366F9"/>
    <w:rsid w:val="00502B73"/>
    <w:rsid w:val="00516D31"/>
    <w:rsid w:val="005B188D"/>
    <w:rsid w:val="005D0D88"/>
    <w:rsid w:val="006036B0"/>
    <w:rsid w:val="006305E8"/>
    <w:rsid w:val="007410A1"/>
    <w:rsid w:val="00772D4D"/>
    <w:rsid w:val="0078395F"/>
    <w:rsid w:val="00792AB5"/>
    <w:rsid w:val="007B207E"/>
    <w:rsid w:val="00832C14"/>
    <w:rsid w:val="00843BF0"/>
    <w:rsid w:val="00847156"/>
    <w:rsid w:val="0086575B"/>
    <w:rsid w:val="008819B7"/>
    <w:rsid w:val="008B1C57"/>
    <w:rsid w:val="009310BB"/>
    <w:rsid w:val="0094165A"/>
    <w:rsid w:val="0094604D"/>
    <w:rsid w:val="00995EFF"/>
    <w:rsid w:val="009A3128"/>
    <w:rsid w:val="009B317D"/>
    <w:rsid w:val="009D33D2"/>
    <w:rsid w:val="009E5A21"/>
    <w:rsid w:val="009F63DF"/>
    <w:rsid w:val="00AC0818"/>
    <w:rsid w:val="00AE706C"/>
    <w:rsid w:val="00B2589F"/>
    <w:rsid w:val="00BA3C3B"/>
    <w:rsid w:val="00BC5271"/>
    <w:rsid w:val="00BD2603"/>
    <w:rsid w:val="00BE093D"/>
    <w:rsid w:val="00BF2A66"/>
    <w:rsid w:val="00C11D9B"/>
    <w:rsid w:val="00C35B87"/>
    <w:rsid w:val="00C3726F"/>
    <w:rsid w:val="00CD28C2"/>
    <w:rsid w:val="00CD5CED"/>
    <w:rsid w:val="00CF3FE9"/>
    <w:rsid w:val="00D0499E"/>
    <w:rsid w:val="00D24F8F"/>
    <w:rsid w:val="00D3570D"/>
    <w:rsid w:val="00D51AEC"/>
    <w:rsid w:val="00D540EE"/>
    <w:rsid w:val="00D70571"/>
    <w:rsid w:val="00DB46DA"/>
    <w:rsid w:val="00DD2CEE"/>
    <w:rsid w:val="00DD480E"/>
    <w:rsid w:val="00DE18B7"/>
    <w:rsid w:val="00E14B52"/>
    <w:rsid w:val="00E36650"/>
    <w:rsid w:val="00E52523"/>
    <w:rsid w:val="00E54FEA"/>
    <w:rsid w:val="00EA322A"/>
    <w:rsid w:val="00EB1427"/>
    <w:rsid w:val="00EF050D"/>
    <w:rsid w:val="00EF4E6A"/>
    <w:rsid w:val="00F41477"/>
    <w:rsid w:val="00F51223"/>
    <w:rsid w:val="00F81B3F"/>
    <w:rsid w:val="00F82E22"/>
    <w:rsid w:val="00FE091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B1C57"/>
    <w:rPr>
      <w:sz w:val="20"/>
      <w:szCs w:val="20"/>
    </w:rPr>
  </w:style>
  <w:style w:type="character" w:customStyle="1" w:styleId="FootnoteTextChar">
    <w:name w:val="Footnote Text Char"/>
    <w:link w:val="FootnoteText"/>
    <w:uiPriority w:val="99"/>
    <w:rsid w:val="008B1C57"/>
    <w:rPr>
      <w:lang w:eastAsia="en-US"/>
    </w:rPr>
  </w:style>
  <w:style w:type="character" w:styleId="FootnoteReference">
    <w:name w:val="footnote reference"/>
    <w:uiPriority w:val="99"/>
    <w:unhideWhenUsed/>
    <w:rsid w:val="008B1C57"/>
    <w:rPr>
      <w:vertAlign w:val="superscript"/>
    </w:rPr>
  </w:style>
  <w:style w:type="paragraph" w:styleId="MediumGrid1-Accent2">
    <w:name w:val="Medium Grid 1 Accent 2"/>
    <w:basedOn w:val="Normal"/>
    <w:uiPriority w:val="34"/>
    <w:qFormat/>
    <w:rsid w:val="00245964"/>
    <w:pPr>
      <w:ind w:left="720"/>
    </w:pPr>
  </w:style>
  <w:style w:type="table" w:styleId="TableGrid">
    <w:name w:val="Table Grid"/>
    <w:basedOn w:val="TableNormal"/>
    <w:uiPriority w:val="39"/>
    <w:rsid w:val="00F51223"/>
    <w:rPr>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lorfulList-Accent1">
    <w:name w:val="Colorful List Accent 1"/>
    <w:aliases w:val="List Paragraph numbered,List Paragraph1,List Bullet indent,Bullet Normal,List 1,Other List"/>
    <w:basedOn w:val="Normal"/>
    <w:link w:val="ColorfulList-Accent1Char"/>
    <w:uiPriority w:val="34"/>
    <w:qFormat/>
    <w:rsid w:val="00F51223"/>
    <w:pPr>
      <w:ind w:left="720"/>
      <w:contextualSpacing/>
    </w:pPr>
  </w:style>
  <w:style w:type="character" w:customStyle="1" w:styleId="ColorfulList-Accent1Char">
    <w:name w:val="Colorful List - Accent 1 Char"/>
    <w:aliases w:val="List Paragraph numbered Char,List Paragraph1 Char,List Bullet indent Char,Bullet Normal Char,List 1 Char,Other List Char"/>
    <w:link w:val="ColorfulList-Accent1"/>
    <w:uiPriority w:val="34"/>
    <w:locked/>
    <w:rsid w:val="00F51223"/>
    <w:rPr>
      <w:sz w:val="22"/>
      <w:szCs w:val="22"/>
      <w:lang w:val="en-NZ"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211A0-2BBA-486F-AA25-653532A22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1542</Words>
  <Characters>8795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Ilaise Laukau</dc:creator>
  <cp:lastModifiedBy>Lianne Kalivati</cp:lastModifiedBy>
  <cp:revision>2</cp:revision>
  <cp:lastPrinted>2016-01-19T21:50:00Z</cp:lastPrinted>
  <dcterms:created xsi:type="dcterms:W3CDTF">2017-09-07T23:59:00Z</dcterms:created>
  <dcterms:modified xsi:type="dcterms:W3CDTF">2017-09-07T23:59:00Z</dcterms:modified>
</cp:coreProperties>
</file>